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8943A2" w14:textId="2CF3BFFF" w:rsidR="00972FE1" w:rsidRDefault="00972FE1" w:rsidP="00C74873">
      <w:pPr>
        <w:spacing w:before="120" w:after="40" w:line="276" w:lineRule="auto"/>
      </w:pPr>
    </w:p>
    <w:p w14:paraId="0FF4815C" w14:textId="77777777" w:rsidR="00972FE1" w:rsidRDefault="00493D21">
      <w:pPr>
        <w:spacing w:after="40" w:line="276" w:lineRule="auto"/>
        <w:jc w:val="center"/>
      </w:pPr>
      <w:r>
        <w:rPr>
          <w:rFonts w:ascii="Calibri" w:hAnsi="Calibri" w:cs="Calibri"/>
          <w:b/>
          <w:bCs/>
          <w:i/>
          <w:iCs/>
          <w:sz w:val="26"/>
          <w:szCs w:val="26"/>
        </w:rPr>
        <w:t>EDITAL DE ABERTURA DO PROCESSO SELETIVO 2027/1</w:t>
      </w:r>
    </w:p>
    <w:p w14:paraId="781A327E" w14:textId="752BF348" w:rsidR="00972FE1" w:rsidRPr="00C74873" w:rsidRDefault="00493D21">
      <w:pPr>
        <w:spacing w:after="200" w:line="276" w:lineRule="auto"/>
        <w:jc w:val="center"/>
        <w:rPr>
          <w:lang w:val="en-US"/>
        </w:rPr>
      </w:pPr>
      <w:r>
        <w:rPr>
          <w:rFonts w:ascii="Calibri" w:hAnsi="Calibri" w:cs="Calibri"/>
          <w:i/>
          <w:iCs/>
          <w:sz w:val="21"/>
          <w:szCs w:val="21"/>
          <w:lang w:val="en-US"/>
        </w:rPr>
        <w:t xml:space="preserve">Pós-Graduação Stricto Sensu — </w:t>
      </w:r>
      <w:r>
        <w:rPr>
          <w:rFonts w:ascii="Calibri" w:hAnsi="Calibri" w:cs="Calibri"/>
          <w:sz w:val="22"/>
          <w:szCs w:val="22"/>
          <w:lang w:val="en-US"/>
        </w:rPr>
        <w:t>Fucape</w:t>
      </w:r>
      <w:r>
        <w:rPr>
          <w:rFonts w:ascii="Calibri" w:hAnsi="Calibri" w:cs="Calibri"/>
          <w:i/>
          <w:iCs/>
          <w:sz w:val="21"/>
          <w:szCs w:val="21"/>
          <w:lang w:val="en-US"/>
        </w:rPr>
        <w:t xml:space="preserve"> </w:t>
      </w:r>
      <w:r>
        <w:rPr>
          <w:rFonts w:ascii="Calibri" w:hAnsi="Calibri" w:cs="Calibri"/>
          <w:sz w:val="21"/>
          <w:szCs w:val="21"/>
          <w:lang w:val="en-US"/>
        </w:rPr>
        <w:t>Business</w:t>
      </w:r>
      <w:r>
        <w:rPr>
          <w:rFonts w:ascii="Calibri" w:hAnsi="Calibri" w:cs="Calibri"/>
          <w:i/>
          <w:iCs/>
          <w:sz w:val="21"/>
          <w:szCs w:val="21"/>
          <w:lang w:val="en-US"/>
        </w:rPr>
        <w:t xml:space="preserve"> School</w:t>
      </w:r>
    </w:p>
    <w:p w14:paraId="3FCD4437" w14:textId="77777777" w:rsidR="00972FE1" w:rsidRDefault="00493D21">
      <w:pPr>
        <w:spacing w:after="240" w:line="276" w:lineRule="auto"/>
        <w:jc w:val="center"/>
      </w:pPr>
      <w:r>
        <w:rPr>
          <w:rFonts w:ascii="Calibri" w:hAnsi="Calibri" w:cs="Calibri"/>
          <w:b/>
          <w:bCs/>
          <w:sz w:val="23"/>
          <w:szCs w:val="23"/>
        </w:rPr>
        <w:t>DOUTORADO PROFISSIONAL EM CIÊNCIAS CONTÁBEIS E ADMINISTRAÇÃO (DPCA)</w:t>
      </w:r>
    </w:p>
    <w:p w14:paraId="201014F8" w14:textId="5B7EB4B6" w:rsidR="00972FE1" w:rsidRDefault="00493D21">
      <w:pPr>
        <w:spacing w:after="200" w:line="276" w:lineRule="auto"/>
        <w:jc w:val="both"/>
      </w:pPr>
      <w:r>
        <w:rPr>
          <w:rFonts w:ascii="Calibri" w:hAnsi="Calibri" w:cs="Calibri"/>
          <w:sz w:val="22"/>
          <w:szCs w:val="22"/>
        </w:rPr>
        <w:t>A Comissão de Pós-Graduação da FUCAPE PESQUISA ENSINO E PARTICIPAÇÕES LTDA., mantenedora da Fucape Business School, para conhecimento de todos os interessados, torna público que, no período indicado neste Edital, estarão abertas as inscrições para o processo seletivo do Doutorado Profissional em Ciências Contábeis e Administração (DPCA), referente à Turma 2027/1 (ingresso em março de 2027), sede Vitória/ES, organizado sob a forma de processo seletivo simplificado, sem aplicação de prova, segundo as normas aqui definidas, que a Instituição se obriga a cumprir e que os candidatos, ao se inscreverem, declaram conhecer e aceitar.</w:t>
      </w:r>
    </w:p>
    <w:p w14:paraId="716A76CC" w14:textId="77777777" w:rsidR="00972FE1" w:rsidRPr="00AF6CAD" w:rsidRDefault="00493D21" w:rsidP="00AF6CAD">
      <w:pPr>
        <w:pStyle w:val="Ttulo1"/>
      </w:pPr>
      <w:r>
        <w:t>1. DAS INSCRIÇÕES</w:t>
      </w:r>
    </w:p>
    <w:p w14:paraId="1C5C5C75" w14:textId="77777777" w:rsidR="00972FE1" w:rsidRDefault="00493D21">
      <w:pPr>
        <w:keepNext/>
        <w:spacing w:before="160" w:after="100" w:line="276" w:lineRule="auto"/>
      </w:pPr>
      <w:r>
        <w:rPr>
          <w:rFonts w:ascii="Calibri" w:hAnsi="Calibri" w:cs="Calibri"/>
          <w:b/>
          <w:bCs/>
          <w:sz w:val="22"/>
          <w:szCs w:val="22"/>
        </w:rPr>
        <w:t>INSCRIÇÕES ON-LINE:</w:t>
      </w:r>
    </w:p>
    <w:p w14:paraId="1E53C102" w14:textId="1DE5DB56" w:rsidR="00972FE1" w:rsidRDefault="00493D21">
      <w:pPr>
        <w:spacing w:after="40"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 xml:space="preserve">Período: </w:t>
      </w:r>
      <w:r>
        <w:rPr>
          <w:rFonts w:ascii="Calibri" w:hAnsi="Calibri" w:cs="Calibri"/>
          <w:sz w:val="22"/>
          <w:szCs w:val="22"/>
        </w:rPr>
        <w:t>De 14 de setembro de 2026 a 28 de fevereiro de 2027.</w:t>
      </w:r>
    </w:p>
    <w:p w14:paraId="0E202EAA" w14:textId="02211ADE" w:rsidR="00972FE1" w:rsidRDefault="00493D21">
      <w:pPr>
        <w:spacing w:after="40"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 xml:space="preserve">Portal de Inscrições: </w:t>
      </w:r>
      <w:r>
        <w:rPr>
          <w:rFonts w:ascii="Calibri" w:hAnsi="Calibri" w:cs="Calibri"/>
          <w:sz w:val="22"/>
          <w:szCs w:val="22"/>
        </w:rPr>
        <w:t>site oficial da instituição (fucape.br) — endereço eletrônico específico do processo seletivo a ser disponibilizado pela Fucape.</w:t>
      </w:r>
    </w:p>
    <w:p w14:paraId="03AAE76F" w14:textId="45D3C20C" w:rsidR="00972FE1" w:rsidRDefault="00493D21">
      <w:pPr>
        <w:spacing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 xml:space="preserve">Taxa de inscrição: </w:t>
      </w:r>
      <w:r>
        <w:rPr>
          <w:rFonts w:ascii="Calibri" w:hAnsi="Calibri" w:cs="Calibri"/>
          <w:sz w:val="22"/>
          <w:szCs w:val="22"/>
        </w:rPr>
        <w:t>não há cobrança de taxa de inscrição.</w:t>
      </w:r>
    </w:p>
    <w:p w14:paraId="4E7D3F3A" w14:textId="77777777" w:rsidR="00972FE1" w:rsidRDefault="00493D21" w:rsidP="00AF6CAD">
      <w:pPr>
        <w:pStyle w:val="Ttulo2"/>
      </w:pPr>
      <w:r>
        <w:t>1.1 Procedimentos:</w:t>
      </w:r>
    </w:p>
    <w:p w14:paraId="2401380D" w14:textId="557D405D" w:rsidR="00972FE1" w:rsidRDefault="00493D21">
      <w:pPr>
        <w:tabs>
          <w:tab w:val="left" w:pos="450"/>
        </w:tabs>
        <w:spacing w:line="276" w:lineRule="auto"/>
        <w:ind w:left="450" w:hanging="450"/>
        <w:jc w:val="both"/>
      </w:pPr>
      <w:r>
        <w:rPr>
          <w:rFonts w:ascii="Calibri" w:hAnsi="Calibri" w:cs="Calibri"/>
          <w:sz w:val="22"/>
          <w:szCs w:val="22"/>
        </w:rPr>
        <w:t>a)</w:t>
      </w:r>
      <w:r>
        <w:tab/>
      </w:r>
      <w:r>
        <w:rPr>
          <w:rFonts w:ascii="Calibri" w:hAnsi="Calibri" w:cs="Calibri"/>
          <w:sz w:val="22"/>
          <w:szCs w:val="22"/>
        </w:rPr>
        <w:t>O candidato deverá preencher integralmente o formulário de inscrição on-line, informando dados pessoais, de perfil profissional e de formação acadêmica; a inscrição só será efetivada após o seu correto preenchimento;</w:t>
      </w:r>
    </w:p>
    <w:p w14:paraId="4D30F048" w14:textId="77777777" w:rsidR="00CF10F2" w:rsidRDefault="00493D21">
      <w:pPr>
        <w:tabs>
          <w:tab w:val="left" w:pos="450"/>
        </w:tabs>
        <w:spacing w:line="276" w:lineRule="auto"/>
        <w:ind w:left="450" w:hanging="450"/>
        <w:jc w:val="both"/>
      </w:pPr>
      <w:r>
        <w:rPr>
          <w:rFonts w:ascii="Calibri" w:hAnsi="Calibri" w:cs="Calibri"/>
          <w:sz w:val="22"/>
          <w:szCs w:val="22"/>
        </w:rPr>
        <w:t>b)</w:t>
      </w:r>
      <w:r>
        <w:rPr>
          <w:rFonts w:ascii="Calibri" w:hAnsi="Calibri" w:cs="Calibri"/>
          <w:sz w:val="22"/>
          <w:szCs w:val="22"/>
        </w:rPr>
        <w:tab/>
        <w:t>No formulário, o candidato deverá informar o link do seu perfil no LinkedIn ou do seu Currículo Lattes (ou, na ausência de ambos, anexar currículo profissional atualizado) e anexar a carta de motivação, nos termos do item 4.1, alínea "c". Os documentos oficiais (identidade e diploma de mestrado) serão exigidos apenas no ato da matrícula, conforme o item 5;</w:t>
      </w:r>
    </w:p>
    <w:p w14:paraId="697ED797" w14:textId="77777777" w:rsidR="00CF10F2" w:rsidRDefault="00493D21">
      <w:pPr>
        <w:tabs>
          <w:tab w:val="left" w:pos="450"/>
        </w:tabs>
        <w:spacing w:line="276" w:lineRule="auto"/>
        <w:ind w:left="450" w:hanging="450"/>
        <w:jc w:val="both"/>
      </w:pPr>
      <w:r>
        <w:rPr>
          <w:rFonts w:ascii="Calibri" w:hAnsi="Calibri" w:cs="Calibri"/>
          <w:sz w:val="22"/>
          <w:szCs w:val="22"/>
        </w:rPr>
        <w:t>c)</w:t>
      </w:r>
      <w:r>
        <w:rPr>
          <w:rFonts w:ascii="Calibri" w:hAnsi="Calibri" w:cs="Calibri"/>
          <w:sz w:val="22"/>
          <w:szCs w:val="22"/>
        </w:rPr>
        <w:tab/>
        <w:t>O candidato é o único responsável pela veracidade das informações prestadas. A constatação de inconsistência implica a eliminação do processo seletivo ou, se já efetivada, o cancelamento da matrícula;</w:t>
      </w:r>
    </w:p>
    <w:p w14:paraId="4221A91A" w14:textId="77777777" w:rsidR="00CF10F2" w:rsidRDefault="00493D21">
      <w:pPr>
        <w:tabs>
          <w:tab w:val="left" w:pos="450"/>
        </w:tabs>
        <w:spacing w:line="276" w:lineRule="auto"/>
        <w:ind w:left="450" w:hanging="450"/>
        <w:jc w:val="both"/>
      </w:pPr>
      <w:r>
        <w:rPr>
          <w:rFonts w:ascii="Calibri" w:hAnsi="Calibri" w:cs="Calibri"/>
          <w:sz w:val="22"/>
          <w:szCs w:val="22"/>
        </w:rPr>
        <w:t>d)</w:t>
      </w:r>
      <w:r>
        <w:rPr>
          <w:rFonts w:ascii="Calibri" w:hAnsi="Calibri" w:cs="Calibri"/>
          <w:sz w:val="22"/>
          <w:szCs w:val="22"/>
        </w:rPr>
        <w:tab/>
        <w:t>A confirmação do recebimento da inscrição será enviada ao e-mail informado pelo candidato. Dúvidas sobre o processo seletivo podem ser encaminhadas à Secretaria Acadêmica da Fucape Vitória pelos canais indicados no portal de inscrições;</w:t>
      </w:r>
    </w:p>
    <w:p w14:paraId="20611DD8" w14:textId="77777777" w:rsidR="00CF10F2" w:rsidRDefault="00493D21">
      <w:pPr>
        <w:tabs>
          <w:tab w:val="left" w:pos="450"/>
        </w:tabs>
        <w:spacing w:line="276" w:lineRule="auto"/>
        <w:ind w:left="450" w:hanging="450"/>
        <w:jc w:val="both"/>
      </w:pPr>
      <w:r>
        <w:rPr>
          <w:rFonts w:ascii="Calibri" w:hAnsi="Calibri" w:cs="Calibri"/>
          <w:sz w:val="22"/>
          <w:szCs w:val="22"/>
        </w:rPr>
        <w:t>e)</w:t>
      </w:r>
      <w:r>
        <w:rPr>
          <w:rFonts w:ascii="Calibri" w:hAnsi="Calibri" w:cs="Calibri"/>
          <w:sz w:val="22"/>
          <w:szCs w:val="22"/>
        </w:rPr>
        <w:tab/>
        <w:t>As inscrições são recebidas em fluxo contínuo durante todo o período indicado neste item, e as etapas de seleção são conduzidas à medida do recebimento das inscrições, enquanto houver vagas disponíveis.</w:t>
      </w:r>
    </w:p>
    <w:p w14:paraId="48C2A150" w14:textId="1C6FBC98" w:rsidR="00972FE1" w:rsidRDefault="00493D21" w:rsidP="00AF6CAD">
      <w:pPr>
        <w:pStyle w:val="Ttulo1"/>
      </w:pPr>
      <w:r>
        <w:lastRenderedPageBreak/>
        <w:t>2. DOS REQUISITOS</w:t>
      </w:r>
    </w:p>
    <w:p w14:paraId="14F40797" w14:textId="29D84EA5" w:rsidR="00972FE1" w:rsidRDefault="00493D21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Poderão se candidatar portadores do título de Mestre, obtido em programa acadêmico ou profissional reconhecido pelo MEC (diploma a ser apresentado no ato da matrícula). Egressos de mestrados profissionais em Administração, Contabilidade ou áreas correlatas são especialmente bem-vindos.</w:t>
      </w:r>
    </w:p>
    <w:p w14:paraId="6FBF5617" w14:textId="2078C33F" w:rsidR="00972FE1" w:rsidRDefault="00493D21" w:rsidP="00AF6CAD">
      <w:pPr>
        <w:pStyle w:val="Ttulo1"/>
      </w:pPr>
      <w:r>
        <w:t>3. DO CURSO, DAS LINHAS DE PESQUISA E DO LOCAL DE FUNCIONAMENTO</w:t>
      </w:r>
    </w:p>
    <w:p w14:paraId="1B460B1D" w14:textId="3EF1B8A0" w:rsidR="00972FE1" w:rsidRDefault="00493D21" w:rsidP="00AF6CAD">
      <w:pPr>
        <w:pStyle w:val="PargrafodaLista"/>
        <w:numPr>
          <w:ilvl w:val="0"/>
          <w:numId w:val="1"/>
        </w:numPr>
        <w:tabs>
          <w:tab w:val="left" w:pos="45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O referido Processo Seletivo será realizado para o preenchimento das seguintes vagas da Turma 2027/1:</w:t>
      </w:r>
    </w:p>
    <w:tbl>
      <w:tblPr>
        <w:tblW w:w="85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1100"/>
        <w:gridCol w:w="3200"/>
        <w:gridCol w:w="700"/>
        <w:gridCol w:w="3504"/>
      </w:tblGrid>
      <w:tr w:rsidR="00972FE1" w14:paraId="6F451B9D" w14:textId="77777777">
        <w:trPr>
          <w:cantSplit/>
          <w:tblHeader/>
        </w:trPr>
        <w:tc>
          <w:tcPr>
            <w:tcW w:w="1100" w:type="dxa"/>
            <w:shd w:val="clear" w:color="auto" w:fill="E9E9E9"/>
            <w:vAlign w:val="center"/>
          </w:tcPr>
          <w:p w14:paraId="1A569703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Programa</w:t>
            </w:r>
          </w:p>
        </w:tc>
        <w:tc>
          <w:tcPr>
            <w:tcW w:w="3200" w:type="dxa"/>
            <w:shd w:val="clear" w:color="auto" w:fill="E9E9E9"/>
            <w:vAlign w:val="center"/>
          </w:tcPr>
          <w:p w14:paraId="06EBFBBA" w14:textId="53E71A15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9"/>
                <w:szCs w:val="19"/>
              </w:rPr>
              <w:t>Linha de Pesquisa</w:t>
            </w:r>
          </w:p>
        </w:tc>
        <w:tc>
          <w:tcPr>
            <w:tcW w:w="700" w:type="dxa"/>
            <w:shd w:val="clear" w:color="auto" w:fill="E9E9E9"/>
            <w:vAlign w:val="center"/>
          </w:tcPr>
          <w:p w14:paraId="2624B370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Vagas</w:t>
            </w:r>
          </w:p>
        </w:tc>
        <w:tc>
          <w:tcPr>
            <w:tcW w:w="3504" w:type="dxa"/>
            <w:shd w:val="clear" w:color="auto" w:fill="E9E9E9"/>
            <w:vAlign w:val="center"/>
          </w:tcPr>
          <w:p w14:paraId="6904913F" w14:textId="63E07B6E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9"/>
                <w:szCs w:val="19"/>
              </w:rPr>
              <w:t>Dias e horários de referência</w:t>
            </w:r>
          </w:p>
        </w:tc>
      </w:tr>
      <w:tr w:rsidR="00972FE1" w14:paraId="3A6FD423" w14:textId="77777777">
        <w:trPr>
          <w:cantSplit/>
        </w:trPr>
        <w:tc>
          <w:tcPr>
            <w:tcW w:w="1100" w:type="dxa"/>
            <w:vAlign w:val="center"/>
          </w:tcPr>
          <w:p w14:paraId="203142D6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DPCA</w:t>
            </w:r>
          </w:p>
        </w:tc>
        <w:tc>
          <w:tcPr>
            <w:tcW w:w="3200" w:type="dxa"/>
            <w:vAlign w:val="center"/>
          </w:tcPr>
          <w:p w14:paraId="1CDDDB78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Contabilidade, Controladoria e Finanças</w:t>
            </w:r>
          </w:p>
        </w:tc>
        <w:tc>
          <w:tcPr>
            <w:tcW w:w="700" w:type="dxa"/>
            <w:vAlign w:val="center"/>
          </w:tcPr>
          <w:p w14:paraId="06394843" w14:textId="6BECE92A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9"/>
                <w:szCs w:val="19"/>
              </w:rPr>
              <w:t>30</w:t>
            </w:r>
          </w:p>
        </w:tc>
        <w:tc>
          <w:tcPr>
            <w:tcW w:w="3504" w:type="dxa"/>
            <w:vAlign w:val="center"/>
          </w:tcPr>
          <w:p w14:paraId="5E95F89F" w14:textId="06DB5956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Sextas-feiras (tarde ou noite, conforme o formato da disciplina) e sábados, em ritmo quinzenal; seminários em noites de terça e quinta</w:t>
            </w:r>
          </w:p>
        </w:tc>
      </w:tr>
      <w:tr w:rsidR="00972FE1" w14:paraId="40641A51" w14:textId="77777777">
        <w:trPr>
          <w:cantSplit/>
        </w:trPr>
        <w:tc>
          <w:tcPr>
            <w:tcW w:w="1100" w:type="dxa"/>
            <w:vAlign w:val="center"/>
          </w:tcPr>
          <w:p w14:paraId="6F2A1D86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DPCA</w:t>
            </w:r>
          </w:p>
        </w:tc>
        <w:tc>
          <w:tcPr>
            <w:tcW w:w="3200" w:type="dxa"/>
            <w:vAlign w:val="center"/>
          </w:tcPr>
          <w:p w14:paraId="3DBBA394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Estratégia e Organização</w:t>
            </w:r>
          </w:p>
        </w:tc>
        <w:tc>
          <w:tcPr>
            <w:tcW w:w="700" w:type="dxa"/>
            <w:vAlign w:val="center"/>
          </w:tcPr>
          <w:p w14:paraId="627F2F05" w14:textId="27FEE786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9"/>
                <w:szCs w:val="19"/>
              </w:rPr>
              <w:t>30</w:t>
            </w:r>
          </w:p>
        </w:tc>
        <w:tc>
          <w:tcPr>
            <w:tcW w:w="3504" w:type="dxa"/>
            <w:vAlign w:val="center"/>
          </w:tcPr>
          <w:p w14:paraId="443BACE1" w14:textId="6097D4D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Sextas-feiras (tarde ou noite, conforme o formato da disciplina) e sábados, em ritmo quinzenal; seminários em noites de terça e quinta</w:t>
            </w:r>
          </w:p>
        </w:tc>
      </w:tr>
    </w:tbl>
    <w:p w14:paraId="2C74720C" w14:textId="77777777" w:rsidR="00972FE1" w:rsidRDefault="00972FE1">
      <w:pPr>
        <w:spacing w:after="80"/>
      </w:pPr>
    </w:p>
    <w:p w14:paraId="5B526273" w14:textId="3BCD2F0C" w:rsidR="00972FE1" w:rsidRDefault="00493D21" w:rsidP="00AF6CAD">
      <w:pPr>
        <w:pStyle w:val="PargrafodaLista"/>
        <w:numPr>
          <w:ilvl w:val="0"/>
          <w:numId w:val="1"/>
        </w:numPr>
        <w:tabs>
          <w:tab w:val="left" w:pos="45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Ao realizar a inscrição, o candidato deve indicar a linha de pesquisa de sua preferência: Contabilidade, Controladoria e Finanças ou Estratégia e Organização. As duas linhas integram a área de concentração Contabilidade e Administração.</w:t>
      </w:r>
    </w:p>
    <w:p w14:paraId="0297CB7E" w14:textId="79A6AD40" w:rsidR="00972FE1" w:rsidRDefault="00493D21" w:rsidP="00AF6CAD">
      <w:pPr>
        <w:pStyle w:val="PargrafodaLista"/>
        <w:numPr>
          <w:ilvl w:val="0"/>
          <w:numId w:val="1"/>
        </w:numPr>
        <w:tabs>
          <w:tab w:val="left" w:pos="45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As atividades acadêmicas são realizadas em ritmo quinzenal às sextas-feiras e aos sábados, organizadas em 5 (cinco) ciclos, que incluem a Imersão Inaugural e as imersões temáticas indicadas no Anexo I.</w:t>
      </w:r>
    </w:p>
    <w:p w14:paraId="146661F7" w14:textId="70DA2E59" w:rsidR="00972FE1" w:rsidRDefault="00493D21" w:rsidP="00AF6CAD">
      <w:pPr>
        <w:pStyle w:val="PargrafodaLista"/>
        <w:numPr>
          <w:ilvl w:val="0"/>
          <w:numId w:val="1"/>
        </w:numPr>
        <w:tabs>
          <w:tab w:val="left" w:pos="45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A Imersão Inaugural, em 05 e 06 de março de 2027, abre o programa com Painel de Abertura compartilhado com a turma do Mestrado Profissional (MPCA), seguido de atividades específicas do DPCA.</w:t>
      </w:r>
    </w:p>
    <w:p w14:paraId="5BCB8F34" w14:textId="71537801" w:rsidR="00972FE1" w:rsidRDefault="00493D21" w:rsidP="00AF6CAD">
      <w:pPr>
        <w:pStyle w:val="PargrafodaLista"/>
        <w:numPr>
          <w:ilvl w:val="0"/>
          <w:numId w:val="1"/>
        </w:numPr>
        <w:tabs>
          <w:tab w:val="left" w:pos="45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Carga horária e prazo de conclusão:</w:t>
      </w:r>
    </w:p>
    <w:tbl>
      <w:tblPr>
        <w:tblW w:w="85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1300"/>
        <w:gridCol w:w="3700"/>
        <w:gridCol w:w="3504"/>
      </w:tblGrid>
      <w:tr w:rsidR="00972FE1" w14:paraId="172FC7E9" w14:textId="77777777">
        <w:trPr>
          <w:cantSplit/>
          <w:tblHeader/>
        </w:trPr>
        <w:tc>
          <w:tcPr>
            <w:tcW w:w="1300" w:type="dxa"/>
            <w:shd w:val="clear" w:color="auto" w:fill="E9E9E9"/>
            <w:vAlign w:val="center"/>
          </w:tcPr>
          <w:p w14:paraId="36C8F542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Programa</w:t>
            </w:r>
          </w:p>
        </w:tc>
        <w:tc>
          <w:tcPr>
            <w:tcW w:w="3700" w:type="dxa"/>
            <w:shd w:val="clear" w:color="auto" w:fill="E9E9E9"/>
            <w:vAlign w:val="center"/>
          </w:tcPr>
          <w:p w14:paraId="5675BC1E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Carga horária</w:t>
            </w:r>
          </w:p>
        </w:tc>
        <w:tc>
          <w:tcPr>
            <w:tcW w:w="3504" w:type="dxa"/>
            <w:shd w:val="clear" w:color="auto" w:fill="E9E9E9"/>
            <w:vAlign w:val="center"/>
          </w:tcPr>
          <w:p w14:paraId="7DBEAE40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Prazo de conclusão</w:t>
            </w:r>
          </w:p>
        </w:tc>
      </w:tr>
      <w:tr w:rsidR="00972FE1" w14:paraId="06824884" w14:textId="77777777">
        <w:trPr>
          <w:cantSplit/>
        </w:trPr>
        <w:tc>
          <w:tcPr>
            <w:tcW w:w="1300" w:type="dxa"/>
            <w:vAlign w:val="center"/>
          </w:tcPr>
          <w:p w14:paraId="2167F0B1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DPCA</w:t>
            </w:r>
          </w:p>
        </w:tc>
        <w:tc>
          <w:tcPr>
            <w:tcW w:w="3700" w:type="dxa"/>
            <w:vAlign w:val="center"/>
          </w:tcPr>
          <w:p w14:paraId="2B898859" w14:textId="451673A0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540h, incluindo Desafios de Mercado e Acompanhamento de Mercado, além da Orientação, da Tese Aplicada (trabalho de conclusão individual) e do Produto Técnico-Tecnológico (PTT).</w:t>
            </w:r>
          </w:p>
        </w:tc>
        <w:tc>
          <w:tcPr>
            <w:tcW w:w="3504" w:type="dxa"/>
            <w:vAlign w:val="center"/>
          </w:tcPr>
          <w:p w14:paraId="56409433" w14:textId="095E96EC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Prazo de 48 (quarenta e oito) meses, com defesa da tese prevista para fevereiro de 2031. Exame de qualificação até o 36º mês (março de 2030).</w:t>
            </w:r>
          </w:p>
        </w:tc>
      </w:tr>
    </w:tbl>
    <w:p w14:paraId="54C5A21C" w14:textId="77777777" w:rsidR="00972FE1" w:rsidRDefault="00972FE1">
      <w:pPr>
        <w:spacing w:after="80"/>
      </w:pPr>
    </w:p>
    <w:p w14:paraId="4F249737" w14:textId="0CD08E64" w:rsidR="00972FE1" w:rsidRDefault="00493D21" w:rsidP="00AF6CAD">
      <w:pPr>
        <w:pStyle w:val="PargrafodaLista"/>
        <w:numPr>
          <w:ilvl w:val="0"/>
          <w:numId w:val="1"/>
        </w:numPr>
        <w:tabs>
          <w:tab w:val="left" w:pos="45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Formatos das disciplinas — quadro de referência (os horários abaixo valem para as duas linhas de pesquisa; as disciplinas específicas de cada linha ocorrem em salas paralelas, nas mesmas datas):</w:t>
      </w:r>
    </w:p>
    <w:tbl>
      <w:tblPr>
        <w:tblW w:w="85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2600"/>
        <w:gridCol w:w="5904"/>
      </w:tblGrid>
      <w:tr w:rsidR="00972FE1" w14:paraId="43A54BB3" w14:textId="77777777">
        <w:trPr>
          <w:cantSplit/>
          <w:tblHeader/>
        </w:trPr>
        <w:tc>
          <w:tcPr>
            <w:tcW w:w="2600" w:type="dxa"/>
            <w:shd w:val="clear" w:color="auto" w:fill="E9E9E9"/>
            <w:vAlign w:val="center"/>
          </w:tcPr>
          <w:p w14:paraId="49C9F9B6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Formato</w:t>
            </w:r>
          </w:p>
        </w:tc>
        <w:tc>
          <w:tcPr>
            <w:tcW w:w="5904" w:type="dxa"/>
            <w:shd w:val="clear" w:color="auto" w:fill="E9E9E9"/>
            <w:vAlign w:val="center"/>
          </w:tcPr>
          <w:p w14:paraId="647DA810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Como funciona</w:t>
            </w:r>
          </w:p>
        </w:tc>
      </w:tr>
      <w:tr w:rsidR="00972FE1" w14:paraId="5D2004CF" w14:textId="77777777">
        <w:trPr>
          <w:cantSplit/>
        </w:trPr>
        <w:tc>
          <w:tcPr>
            <w:tcW w:w="2600" w:type="dxa"/>
            <w:vAlign w:val="center"/>
          </w:tcPr>
          <w:p w14:paraId="3755DC5B" w14:textId="37F33DB6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Imersão Inaugural (18h)</w:t>
            </w:r>
          </w:p>
        </w:tc>
        <w:tc>
          <w:tcPr>
            <w:tcW w:w="5904" w:type="dxa"/>
            <w:vAlign w:val="center"/>
          </w:tcPr>
          <w:p w14:paraId="73F37016" w14:textId="09934F7B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Sexta-feira, a partir das 12h55, com Painel de Abertura à noite compartilhado entre as turmas do MPCA e do DPCA; sábado, das 8h às 16h50.</w:t>
            </w:r>
          </w:p>
        </w:tc>
      </w:tr>
      <w:tr w:rsidR="00972FE1" w14:paraId="55523FE5" w14:textId="77777777">
        <w:trPr>
          <w:cantSplit/>
        </w:trPr>
        <w:tc>
          <w:tcPr>
            <w:tcW w:w="2600" w:type="dxa"/>
            <w:vAlign w:val="center"/>
          </w:tcPr>
          <w:p w14:paraId="30656CF7" w14:textId="490EB2B9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Encontros quinzenais — sexta e sábado (27h)</w:t>
            </w:r>
          </w:p>
        </w:tc>
        <w:tc>
          <w:tcPr>
            <w:tcW w:w="5904" w:type="dxa"/>
            <w:vAlign w:val="center"/>
          </w:tcPr>
          <w:p w14:paraId="3E120B8F" w14:textId="53EB5206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Encontros a cada duas semanas: sexta-feira, das 18h30 às 22h25, e sábado, das 8h às 16h50.</w:t>
            </w:r>
          </w:p>
        </w:tc>
      </w:tr>
      <w:tr w:rsidR="00972FE1" w14:paraId="69279AE4" w14:textId="77777777">
        <w:trPr>
          <w:cantSplit/>
        </w:trPr>
        <w:tc>
          <w:tcPr>
            <w:tcW w:w="2600" w:type="dxa"/>
            <w:vAlign w:val="center"/>
          </w:tcPr>
          <w:p w14:paraId="4F6A10F4" w14:textId="05B6A2D3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Disciplinas com imersão (36h)</w:t>
            </w:r>
          </w:p>
        </w:tc>
        <w:tc>
          <w:tcPr>
            <w:tcW w:w="5904" w:type="dxa"/>
            <w:vAlign w:val="center"/>
          </w:tcPr>
          <w:p w14:paraId="33193589" w14:textId="3B6DA41B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Encontro preparatório de sexta e sábado, seguidos, na quinzena subsequente, da imersão: sexta-feira das 8h às 20h40, encerrada com o Painel Executivo e Jantar de Networking, e sábado das 8h às 16h50.</w:t>
            </w:r>
          </w:p>
        </w:tc>
      </w:tr>
      <w:tr w:rsidR="00972FE1" w14:paraId="5DDD03C3" w14:textId="77777777">
        <w:trPr>
          <w:cantSplit/>
        </w:trPr>
        <w:tc>
          <w:tcPr>
            <w:tcW w:w="2600" w:type="dxa"/>
            <w:vAlign w:val="center"/>
          </w:tcPr>
          <w:p w14:paraId="2F6DF9AA" w14:textId="783D728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Sábados quinzenais (27h)</w:t>
            </w:r>
          </w:p>
        </w:tc>
        <w:tc>
          <w:tcPr>
            <w:tcW w:w="5904" w:type="dxa"/>
            <w:vAlign w:val="center"/>
          </w:tcPr>
          <w:p w14:paraId="290FCA9F" w14:textId="08ED6874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Três sábados, a cada duas semanas, das 8h às 16h50, sem encontro na sexta-feira (Métodos Quantitativos e Qualitativos Aplicados).</w:t>
            </w:r>
          </w:p>
        </w:tc>
      </w:tr>
      <w:tr w:rsidR="00972FE1" w14:paraId="6A835992" w14:textId="77777777">
        <w:trPr>
          <w:cantSplit/>
        </w:trPr>
        <w:tc>
          <w:tcPr>
            <w:tcW w:w="2600" w:type="dxa"/>
            <w:vAlign w:val="center"/>
          </w:tcPr>
          <w:p w14:paraId="02E62D0E" w14:textId="16CCE70F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Seminários — noites de terça e quinta (18h)</w:t>
            </w:r>
          </w:p>
        </w:tc>
        <w:tc>
          <w:tcPr>
            <w:tcW w:w="5904" w:type="dxa"/>
            <w:vAlign w:val="center"/>
          </w:tcPr>
          <w:p w14:paraId="535B2410" w14:textId="31D6522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Quatro noites de Seminários de Tese, das 18h30 às 22h25.</w:t>
            </w:r>
          </w:p>
        </w:tc>
      </w:tr>
      <w:tr w:rsidR="00972FE1" w14:paraId="0DBB1251" w14:textId="77777777">
        <w:trPr>
          <w:cantSplit/>
        </w:trPr>
        <w:tc>
          <w:tcPr>
            <w:tcW w:w="2600" w:type="dxa"/>
            <w:vAlign w:val="center"/>
          </w:tcPr>
          <w:p w14:paraId="4C102C20" w14:textId="061A793D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Orientação individual — contínua</w:t>
            </w:r>
          </w:p>
        </w:tc>
        <w:tc>
          <w:tcPr>
            <w:tcW w:w="5904" w:type="dxa"/>
            <w:vAlign w:val="center"/>
          </w:tcPr>
          <w:p w14:paraId="2379ABA8" w14:textId="40A9CF2F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Acompanhamento individual pelo orientador, a partir do segundo ano, em agenda combinada entre orientador e orientando.</w:t>
            </w:r>
          </w:p>
        </w:tc>
      </w:tr>
      <w:tr w:rsidR="00972FE1" w14:paraId="1E6A6C09" w14:textId="77777777">
        <w:trPr>
          <w:cantSplit/>
        </w:trPr>
        <w:tc>
          <w:tcPr>
            <w:tcW w:w="2600" w:type="dxa"/>
            <w:vAlign w:val="center"/>
          </w:tcPr>
          <w:p w14:paraId="5CBA6F70" w14:textId="4D7E167D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Calendário flexível / extraclasse (Ciclo 5)</w:t>
            </w:r>
          </w:p>
        </w:tc>
        <w:tc>
          <w:tcPr>
            <w:tcW w:w="5904" w:type="dxa"/>
            <w:vAlign w:val="center"/>
          </w:tcPr>
          <w:p w14:paraId="7751F67F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Desafios de Mercado e Acompanhamento de Mercado, em calendário flexível, ao longo dos anos 2 a 4 do doutorado.</w:t>
            </w:r>
          </w:p>
        </w:tc>
      </w:tr>
    </w:tbl>
    <w:p w14:paraId="591F00DC" w14:textId="77777777" w:rsidR="00972FE1" w:rsidRDefault="00972FE1">
      <w:pPr>
        <w:spacing w:after="80"/>
      </w:pPr>
    </w:p>
    <w:p w14:paraId="73BF5F85" w14:textId="7931A022" w:rsidR="00972FE1" w:rsidRDefault="00493D21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A matriz curricular completa da Turma 2027/1 — com disciplinas, linhas de pesquisa, cargas horárias, formatos e datas previstas — consta do Anexo I deste Edital. As ementas, o regulamento do programa e as demais normas acadêmicas (frequência, avaliação, orientação, qualificação e defesa) integram o Caderno do Aluno, disponibilizado no ato da matrícula.</w:t>
      </w:r>
    </w:p>
    <w:p w14:paraId="273F9414" w14:textId="77777777" w:rsidR="00972FE1" w:rsidRDefault="00493D21" w:rsidP="00AF6CAD">
      <w:pPr>
        <w:pStyle w:val="Ttulo1"/>
      </w:pPr>
      <w:r>
        <w:t>4. DO PROCESSO SELETIVO</w:t>
      </w:r>
    </w:p>
    <w:p w14:paraId="0FC071BF" w14:textId="0434FECE" w:rsidR="00972FE1" w:rsidRDefault="00493D21">
      <w:pPr>
        <w:spacing w:line="276" w:lineRule="auto"/>
        <w:jc w:val="both"/>
      </w:pPr>
      <w:r w:rsidRPr="009221D6">
        <w:rPr>
          <w:rFonts w:ascii="Calibri" w:hAnsi="Calibri" w:cs="Calibri"/>
          <w:sz w:val="22"/>
          <w:szCs w:val="22"/>
        </w:rPr>
        <w:t>O processo seletivo é conduzido pela Comissão de Seleção do programa em fluxo contínuo ao longo do período de inscrições. A avaliação considera a trajetória profissional, o potencial acadêmico e o alinhamento do candidato ao perfil do programa, conforme as etapas e os critérios descritos nos itens 4.1 a 4.3.</w:t>
      </w:r>
    </w:p>
    <w:p w14:paraId="64D86C99" w14:textId="001FD94A" w:rsidR="00972FE1" w:rsidRDefault="00493D21" w:rsidP="00AF6CAD">
      <w:pPr>
        <w:pStyle w:val="Ttulo2"/>
      </w:pPr>
      <w:r>
        <w:t>4.1 Etapas</w:t>
      </w:r>
    </w:p>
    <w:p w14:paraId="5DCB1CF8" w14:textId="60DFA50D" w:rsidR="00972FE1" w:rsidRDefault="00493D21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O processo seletivo compreende as seguintes etapas:</w:t>
      </w:r>
    </w:p>
    <w:p w14:paraId="54234BCE" w14:textId="624DA4E8" w:rsidR="00972FE1" w:rsidRDefault="00493D21">
      <w:pPr>
        <w:tabs>
          <w:tab w:val="left" w:pos="450"/>
        </w:tabs>
        <w:spacing w:line="276" w:lineRule="auto"/>
        <w:ind w:left="450" w:hanging="450"/>
        <w:jc w:val="both"/>
      </w:pPr>
      <w:r>
        <w:rPr>
          <w:rFonts w:ascii="Calibri" w:hAnsi="Calibri" w:cs="Calibri"/>
          <w:sz w:val="22"/>
          <w:szCs w:val="22"/>
        </w:rPr>
        <w:t>a)</w:t>
      </w:r>
      <w:r>
        <w:rPr>
          <w:rFonts w:ascii="Calibri" w:hAnsi="Calibri" w:cs="Calibri"/>
          <w:sz w:val="22"/>
          <w:szCs w:val="22"/>
        </w:rPr>
        <w:tab/>
        <w:t>Inscrição on-line, com as informações indicadas no item 1.1;</w:t>
      </w:r>
    </w:p>
    <w:p w14:paraId="69200562" w14:textId="6E4F2E4C" w:rsidR="00972FE1" w:rsidRDefault="00493D21">
      <w:pPr>
        <w:tabs>
          <w:tab w:val="left" w:pos="450"/>
        </w:tabs>
        <w:spacing w:line="276" w:lineRule="auto"/>
        <w:ind w:left="450" w:hanging="450"/>
        <w:jc w:val="both"/>
      </w:pPr>
      <w:r>
        <w:rPr>
          <w:rFonts w:ascii="Calibri" w:hAnsi="Calibri" w:cs="Calibri"/>
          <w:sz w:val="22"/>
          <w:szCs w:val="22"/>
        </w:rPr>
        <w:t>b)</w:t>
      </w:r>
      <w:r>
        <w:rPr>
          <w:rFonts w:ascii="Calibri" w:hAnsi="Calibri" w:cs="Calibri"/>
          <w:sz w:val="22"/>
          <w:szCs w:val="22"/>
        </w:rPr>
        <w:tab/>
        <w:t>Análise curricular (etapa eliminatória e classificatória): avaliação da formação acadêmica, da experiência profissional em alta gestão ou senioridade técnica e da produção técnica e científica do candidato, com base nas informações curriculares fornecidas;</w:t>
      </w:r>
    </w:p>
    <w:p w14:paraId="0C7B81DB" w14:textId="4D0C9A5C" w:rsidR="00972FE1" w:rsidRDefault="00493D21">
      <w:pPr>
        <w:tabs>
          <w:tab w:val="left" w:pos="450"/>
        </w:tabs>
        <w:spacing w:line="276" w:lineRule="auto"/>
        <w:ind w:left="450" w:hanging="450"/>
        <w:jc w:val="both"/>
      </w:pPr>
      <w:r>
        <w:rPr>
          <w:rFonts w:ascii="Calibri" w:hAnsi="Calibri" w:cs="Calibri"/>
          <w:sz w:val="22"/>
          <w:szCs w:val="22"/>
        </w:rPr>
        <w:t>c)</w:t>
      </w:r>
      <w:r>
        <w:rPr>
          <w:rFonts w:ascii="Calibri" w:hAnsi="Calibri" w:cs="Calibri"/>
          <w:sz w:val="22"/>
          <w:szCs w:val="22"/>
        </w:rPr>
        <w:tab/>
        <w:t>Carta de motivação (etapa eliminatória e classificatória): texto de até 3 (três) páginas, em fonte 12 e espaçamento 1,5, no qual o candidato apresenta sua motivação para o doutorado, o problema ou tema de pesquisa que pretende investigar, sua relação com a linha de pesquisa escolhida e o impacto esperado nas organizações. A carta funciona como pré-projeto de pesquisa e poderá ser refinada ao longo do curso, junto ao orientador;</w:t>
      </w:r>
    </w:p>
    <w:p w14:paraId="79316EB2" w14:textId="19174DD4" w:rsidR="00CF10F2" w:rsidRDefault="00493D21">
      <w:pPr>
        <w:tabs>
          <w:tab w:val="left" w:pos="450"/>
        </w:tabs>
        <w:spacing w:line="276" w:lineRule="auto"/>
        <w:ind w:left="450" w:hanging="450"/>
        <w:jc w:val="both"/>
      </w:pPr>
      <w:r>
        <w:rPr>
          <w:rFonts w:ascii="Calibri" w:hAnsi="Calibri" w:cs="Calibri"/>
          <w:sz w:val="22"/>
          <w:szCs w:val="22"/>
        </w:rPr>
        <w:t>d)</w:t>
      </w:r>
      <w:r>
        <w:rPr>
          <w:rFonts w:ascii="Calibri" w:hAnsi="Calibri" w:cs="Calibri"/>
          <w:sz w:val="22"/>
          <w:szCs w:val="22"/>
        </w:rPr>
        <w:tab/>
        <w:t>Entrevista com a Coordenação do programa (etapa eliminatória e classificatória): realizada individualmente, em data e horário agendados pela Secretaria Acadêmica, na sede da Fucape Vitória ou por videoconferência, com duração aproximada de 30 (trinta) minutos. A entrevista destina-se a avaliar a maturidade do candidato, sua motivação e a conexão entre o tema pretendido, a linha de pesquisa e a proposta do programa.</w:t>
      </w:r>
    </w:p>
    <w:p w14:paraId="78708F15" w14:textId="2E116FB2" w:rsidR="00972FE1" w:rsidRDefault="00493D21" w:rsidP="00AF6CAD">
      <w:pPr>
        <w:pStyle w:val="Ttulo2"/>
      </w:pPr>
      <w:r>
        <w:lastRenderedPageBreak/>
        <w:t>4.2 Critérios de avaliação, pontuação e classificação</w:t>
      </w:r>
    </w:p>
    <w:p w14:paraId="112E128A" w14:textId="77777777" w:rsidR="00CF10F2" w:rsidRDefault="00493D21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Cada etapa avaliativa recebe nota de 0 (zero) a 100 (cem) pontos, atribuída pela Comissão de Seleção com base nos critérios abaixo. A nota final do candidato é a média ponderada das etapas, com os pesos indicados. Análise curricular: peso 30% (trinta por cento). Carta de motivação: peso 30% (trinta por cento). Entrevista: peso 40% (quarenta por cento).</w:t>
      </w:r>
    </w:p>
    <w:tbl>
      <w:tblPr>
        <w:tblW w:w="85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6900"/>
        <w:gridCol w:w="1604"/>
      </w:tblGrid>
      <w:tr w:rsidR="00CF10F2" w14:paraId="7C45389D" w14:textId="77777777">
        <w:trPr>
          <w:cantSplit/>
          <w:tblHeader/>
        </w:trPr>
        <w:tc>
          <w:tcPr>
            <w:tcW w:w="6900" w:type="dxa"/>
            <w:shd w:val="clear" w:color="auto" w:fill="E9E9E9"/>
            <w:vAlign w:val="center"/>
          </w:tcPr>
          <w:p w14:paraId="2F89FFFE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Etapa e critério</w:t>
            </w:r>
          </w:p>
        </w:tc>
        <w:tc>
          <w:tcPr>
            <w:tcW w:w="1604" w:type="dxa"/>
            <w:shd w:val="clear" w:color="auto" w:fill="E9E9E9"/>
            <w:vAlign w:val="center"/>
          </w:tcPr>
          <w:p w14:paraId="5C2E6E2A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Pontuação máxima</w:t>
            </w:r>
          </w:p>
        </w:tc>
      </w:tr>
      <w:tr w:rsidR="00CF10F2" w14:paraId="55C0BAFA" w14:textId="77777777">
        <w:trPr>
          <w:cantSplit/>
        </w:trPr>
        <w:tc>
          <w:tcPr>
            <w:tcW w:w="6900" w:type="dxa"/>
            <w:vAlign w:val="center"/>
          </w:tcPr>
          <w:p w14:paraId="0699ECCE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Análise curricular (peso 30%)</w:t>
            </w:r>
          </w:p>
        </w:tc>
        <w:tc>
          <w:tcPr>
            <w:tcW w:w="1604" w:type="dxa"/>
            <w:vAlign w:val="center"/>
          </w:tcPr>
          <w:p w14:paraId="5A1E416C" w14:textId="77777777" w:rsidR="00972FE1" w:rsidRDefault="00972FE1">
            <w:pPr>
              <w:spacing w:before="40" w:after="40" w:line="240" w:lineRule="auto"/>
              <w:jc w:val="center"/>
            </w:pPr>
          </w:p>
        </w:tc>
      </w:tr>
      <w:tr w:rsidR="00CF10F2" w14:paraId="6283BA8B" w14:textId="77777777">
        <w:trPr>
          <w:cantSplit/>
        </w:trPr>
        <w:tc>
          <w:tcPr>
            <w:tcW w:w="6900" w:type="dxa"/>
            <w:vAlign w:val="center"/>
          </w:tcPr>
          <w:p w14:paraId="5DD1F47E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Formação acadêmica: titulação, área do mestrado e formação complementar</w:t>
            </w:r>
          </w:p>
        </w:tc>
        <w:tc>
          <w:tcPr>
            <w:tcW w:w="1604" w:type="dxa"/>
            <w:vAlign w:val="center"/>
          </w:tcPr>
          <w:p w14:paraId="5A9D6049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</w:tr>
      <w:tr w:rsidR="00CF10F2" w14:paraId="220F1B46" w14:textId="77777777">
        <w:trPr>
          <w:cantSplit/>
        </w:trPr>
        <w:tc>
          <w:tcPr>
            <w:tcW w:w="6900" w:type="dxa"/>
            <w:vAlign w:val="center"/>
          </w:tcPr>
          <w:p w14:paraId="72984128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Experiência profissional em alta gestão ou senioridade técnica: tempo, nível de responsabilidade e abrangência das decisões</w:t>
            </w:r>
          </w:p>
        </w:tc>
        <w:tc>
          <w:tcPr>
            <w:tcW w:w="1604" w:type="dxa"/>
            <w:vAlign w:val="center"/>
          </w:tcPr>
          <w:p w14:paraId="5608937E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50</w:t>
            </w:r>
          </w:p>
        </w:tc>
      </w:tr>
      <w:tr w:rsidR="00CF10F2" w14:paraId="73B3DCCB" w14:textId="77777777">
        <w:trPr>
          <w:cantSplit/>
        </w:trPr>
        <w:tc>
          <w:tcPr>
            <w:tcW w:w="6900" w:type="dxa"/>
            <w:vAlign w:val="center"/>
          </w:tcPr>
          <w:p w14:paraId="3895FF62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Produção técnica e científica: publicações, relatórios técnicos, patentes, docência, palestras e participação em conselhos</w:t>
            </w:r>
          </w:p>
        </w:tc>
        <w:tc>
          <w:tcPr>
            <w:tcW w:w="1604" w:type="dxa"/>
            <w:vAlign w:val="center"/>
          </w:tcPr>
          <w:p w14:paraId="6D7319DB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</w:tr>
      <w:tr w:rsidR="00CF10F2" w14:paraId="450F4A50" w14:textId="77777777">
        <w:trPr>
          <w:cantSplit/>
        </w:trPr>
        <w:tc>
          <w:tcPr>
            <w:tcW w:w="6900" w:type="dxa"/>
            <w:vAlign w:val="center"/>
          </w:tcPr>
          <w:p w14:paraId="562A49B6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Carta de motivação (peso 30%)</w:t>
            </w:r>
          </w:p>
        </w:tc>
        <w:tc>
          <w:tcPr>
            <w:tcW w:w="1604" w:type="dxa"/>
            <w:vAlign w:val="center"/>
          </w:tcPr>
          <w:p w14:paraId="2F5AAF99" w14:textId="77777777" w:rsidR="00972FE1" w:rsidRDefault="00972FE1">
            <w:pPr>
              <w:spacing w:before="40" w:after="40" w:line="240" w:lineRule="auto"/>
              <w:jc w:val="center"/>
            </w:pPr>
          </w:p>
        </w:tc>
      </w:tr>
      <w:tr w:rsidR="00CF10F2" w14:paraId="000B041E" w14:textId="77777777">
        <w:trPr>
          <w:cantSplit/>
        </w:trPr>
        <w:tc>
          <w:tcPr>
            <w:tcW w:w="6900" w:type="dxa"/>
            <w:vAlign w:val="center"/>
          </w:tcPr>
          <w:p w14:paraId="76A2AEB5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Clareza e relevância do problema ou tema de pesquisa proposto</w:t>
            </w:r>
          </w:p>
        </w:tc>
        <w:tc>
          <w:tcPr>
            <w:tcW w:w="1604" w:type="dxa"/>
            <w:vAlign w:val="center"/>
          </w:tcPr>
          <w:p w14:paraId="5A15592D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</w:tr>
      <w:tr w:rsidR="00CF10F2" w14:paraId="0F794939" w14:textId="77777777">
        <w:trPr>
          <w:cantSplit/>
        </w:trPr>
        <w:tc>
          <w:tcPr>
            <w:tcW w:w="6900" w:type="dxa"/>
            <w:vAlign w:val="center"/>
          </w:tcPr>
          <w:p w14:paraId="41A9B489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Aderência à linha de pesquisa escolhida e à proposta do programa</w:t>
            </w:r>
          </w:p>
        </w:tc>
        <w:tc>
          <w:tcPr>
            <w:tcW w:w="1604" w:type="dxa"/>
            <w:vAlign w:val="center"/>
          </w:tcPr>
          <w:p w14:paraId="267FCA1C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</w:tr>
      <w:tr w:rsidR="00CF10F2" w14:paraId="7E99E619" w14:textId="77777777">
        <w:trPr>
          <w:cantSplit/>
        </w:trPr>
        <w:tc>
          <w:tcPr>
            <w:tcW w:w="6900" w:type="dxa"/>
            <w:vAlign w:val="center"/>
          </w:tcPr>
          <w:p w14:paraId="3AFADA43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Viabilidade da investigação e potencial de impacto organizacional, tecnológico ou societal</w:t>
            </w:r>
          </w:p>
        </w:tc>
        <w:tc>
          <w:tcPr>
            <w:tcW w:w="1604" w:type="dxa"/>
            <w:vAlign w:val="center"/>
          </w:tcPr>
          <w:p w14:paraId="44940BEA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</w:tr>
      <w:tr w:rsidR="00CF10F2" w14:paraId="52D3AAC6" w14:textId="77777777">
        <w:trPr>
          <w:cantSplit/>
        </w:trPr>
        <w:tc>
          <w:tcPr>
            <w:tcW w:w="6900" w:type="dxa"/>
            <w:vAlign w:val="center"/>
          </w:tcPr>
          <w:p w14:paraId="711D41F8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Entrevista (peso 40%)</w:t>
            </w:r>
          </w:p>
        </w:tc>
        <w:tc>
          <w:tcPr>
            <w:tcW w:w="1604" w:type="dxa"/>
            <w:vAlign w:val="center"/>
          </w:tcPr>
          <w:p w14:paraId="0A78AEB9" w14:textId="77777777" w:rsidR="00972FE1" w:rsidRDefault="00972FE1">
            <w:pPr>
              <w:spacing w:before="40" w:after="40" w:line="240" w:lineRule="auto"/>
              <w:jc w:val="center"/>
            </w:pPr>
          </w:p>
        </w:tc>
      </w:tr>
      <w:tr w:rsidR="00CF10F2" w14:paraId="1C5B0BE4" w14:textId="77777777">
        <w:trPr>
          <w:cantSplit/>
        </w:trPr>
        <w:tc>
          <w:tcPr>
            <w:tcW w:w="6900" w:type="dxa"/>
            <w:vAlign w:val="center"/>
          </w:tcPr>
          <w:p w14:paraId="46CB646C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Motivação, disponibilidade e comprometimento com o percurso de 48 meses (disciplinas, imersões, qualificação e tese)</w:t>
            </w:r>
          </w:p>
        </w:tc>
        <w:tc>
          <w:tcPr>
            <w:tcW w:w="1604" w:type="dxa"/>
            <w:vAlign w:val="center"/>
          </w:tcPr>
          <w:p w14:paraId="03D84EFE" w14:textId="714E5CB1" w:rsidR="00972FE1" w:rsidRDefault="00BF51D6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</w:tr>
      <w:tr w:rsidR="00CF10F2" w14:paraId="672CC6D6" w14:textId="77777777">
        <w:trPr>
          <w:cantSplit/>
        </w:trPr>
        <w:tc>
          <w:tcPr>
            <w:tcW w:w="6900" w:type="dxa"/>
            <w:vAlign w:val="center"/>
          </w:tcPr>
          <w:p w14:paraId="6BE3E458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Capacidade analítica, argumentação e comunicação</w:t>
            </w:r>
          </w:p>
        </w:tc>
        <w:tc>
          <w:tcPr>
            <w:tcW w:w="1604" w:type="dxa"/>
            <w:vAlign w:val="center"/>
          </w:tcPr>
          <w:p w14:paraId="20BBFEDA" w14:textId="6646D6DA" w:rsidR="00972FE1" w:rsidRDefault="00BF51D6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</w:tr>
      <w:tr w:rsidR="00CF10F2" w14:paraId="6465AF6B" w14:textId="77777777">
        <w:trPr>
          <w:cantSplit/>
        </w:trPr>
        <w:tc>
          <w:tcPr>
            <w:tcW w:w="6900" w:type="dxa"/>
            <w:vAlign w:val="center"/>
          </w:tcPr>
          <w:p w14:paraId="3BD4F12F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Potencial de geração de produtos técnico-tecnológicos e de contribuição para a comunidade do programa</w:t>
            </w:r>
          </w:p>
        </w:tc>
        <w:tc>
          <w:tcPr>
            <w:tcW w:w="1604" w:type="dxa"/>
            <w:vAlign w:val="center"/>
          </w:tcPr>
          <w:p w14:paraId="7335720F" w14:textId="46AD6042" w:rsidR="00972FE1" w:rsidRDefault="00BF51D6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</w:tr>
    </w:tbl>
    <w:p w14:paraId="2C079362" w14:textId="77777777" w:rsidR="00CF10F2" w:rsidRDefault="00CF10F2">
      <w:pPr>
        <w:spacing w:line="276" w:lineRule="auto"/>
        <w:jc w:val="both"/>
      </w:pPr>
    </w:p>
    <w:p w14:paraId="39ADE594" w14:textId="77777777" w:rsidR="00CF10F2" w:rsidRDefault="00493D21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Será considerado aprovado o candidato que obtiver nota final igual ou superior a 60 (sessenta) pontos e, cumulativamente, nota igual ou superior a 50 (cinquenta) pontos em cada etapa avaliativa. Os candidatos aprovados serão classificados em ordem decrescente de nota final, por linha de pesquisa, até o limite de vagas; os demais aprovados comporão lista de espera, válida até o encerramento das matrículas.</w:t>
      </w:r>
    </w:p>
    <w:p w14:paraId="5F4D2379" w14:textId="77777777" w:rsidR="00CF10F2" w:rsidRDefault="00493D21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Em caso de empate, terá preferência, sucessivamente, o candidato com maior nota na entrevista, com maior tempo de experiência profissional comprovada e, por fim, com maior idade.</w:t>
      </w:r>
    </w:p>
    <w:p w14:paraId="2D56C874" w14:textId="77777777" w:rsidR="00CF10F2" w:rsidRDefault="00493D21">
      <w:pPr>
        <w:pStyle w:val="Ttulo2"/>
      </w:pPr>
      <w:r>
        <w:t>4.3 Comissão de Seleção</w:t>
      </w:r>
    </w:p>
    <w:p w14:paraId="7554C867" w14:textId="77777777" w:rsidR="00CF10F2" w:rsidRDefault="00493D21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A Comissão de Seleção é composta pelo Coordenador do programa e por, no mínimo, 2 (dois) docentes permanentes designados pelo colegiado. A análise curricular e a avaliação da carta de motivação são realizadas por, pelo menos, dois membros da Comissão, e a entrevista é conduzida pelo Coordenador ou por docente da Comissão por ele designado.</w:t>
      </w:r>
    </w:p>
    <w:p w14:paraId="198CEA82" w14:textId="77777777" w:rsidR="00972FE1" w:rsidRDefault="00493D21" w:rsidP="00AF6CAD">
      <w:pPr>
        <w:pStyle w:val="Ttulo2"/>
      </w:pPr>
      <w:r>
        <w:t>4.4 Da Eliminação</w:t>
      </w:r>
    </w:p>
    <w:p w14:paraId="50991572" w14:textId="04528F82" w:rsidR="00972FE1" w:rsidRDefault="00493D21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Será eliminado do processo seletivo o candidato que: (i) não atender aos requisitos do item 2.1; (ii) não fornecer as informações exigidas no item 1.1, incluindo a carta de motivação; (iii) não comparecer à entrevista agendada, sem justificativa aceita pela Comissão de Seleção; (iv) não atingir as notas mínimas previstas no item 4.2; ou (v) prestar informação falsa ou apresentar documento inidôneo.</w:t>
      </w:r>
    </w:p>
    <w:p w14:paraId="1BD8A430" w14:textId="77777777" w:rsidR="00972FE1" w:rsidRDefault="00493D21" w:rsidP="00AF6CAD">
      <w:pPr>
        <w:pStyle w:val="Ttulo2"/>
      </w:pPr>
      <w:r>
        <w:lastRenderedPageBreak/>
        <w:t>4.5 Divulgação dos Resultados</w:t>
      </w:r>
    </w:p>
    <w:p w14:paraId="611F7CE2" w14:textId="469BC1DB" w:rsidR="00972FE1" w:rsidRDefault="00493D21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O resultado de cada etapa será comunicado individualmente ao candidato, por e-mail, em até 10 (dez) dias úteis após a sua conclusão, ao longo do período do processo seletivo.</w:t>
      </w:r>
    </w:p>
    <w:p w14:paraId="1006D3D4" w14:textId="77777777" w:rsidR="00CF10F2" w:rsidRDefault="00493D21">
      <w:pPr>
        <w:pStyle w:val="Ttulo2"/>
      </w:pPr>
      <w:r>
        <w:t>4.6 Cronograma</w:t>
      </w:r>
    </w:p>
    <w:tbl>
      <w:tblPr>
        <w:tblW w:w="85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3400"/>
        <w:gridCol w:w="5104"/>
      </w:tblGrid>
      <w:tr w:rsidR="00CF10F2" w14:paraId="7638C25E" w14:textId="77777777">
        <w:trPr>
          <w:cantSplit/>
          <w:tblHeader/>
        </w:trPr>
        <w:tc>
          <w:tcPr>
            <w:tcW w:w="3400" w:type="dxa"/>
            <w:shd w:val="clear" w:color="auto" w:fill="E9E9E9"/>
            <w:vAlign w:val="center"/>
          </w:tcPr>
          <w:p w14:paraId="70F92ACE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9"/>
                <w:szCs w:val="19"/>
              </w:rPr>
              <w:t>Etapa</w:t>
            </w:r>
          </w:p>
        </w:tc>
        <w:tc>
          <w:tcPr>
            <w:tcW w:w="5104" w:type="dxa"/>
            <w:shd w:val="clear" w:color="auto" w:fill="E9E9E9"/>
            <w:vAlign w:val="center"/>
          </w:tcPr>
          <w:p w14:paraId="21EC02EB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9"/>
                <w:szCs w:val="19"/>
              </w:rPr>
              <w:t>Período ou prazo</w:t>
            </w:r>
          </w:p>
        </w:tc>
      </w:tr>
      <w:tr w:rsidR="00CF10F2" w14:paraId="04606BCF" w14:textId="77777777">
        <w:trPr>
          <w:cantSplit/>
        </w:trPr>
        <w:tc>
          <w:tcPr>
            <w:tcW w:w="3400" w:type="dxa"/>
            <w:vAlign w:val="center"/>
          </w:tcPr>
          <w:p w14:paraId="7A85778C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Inscrições on-line</w:t>
            </w:r>
          </w:p>
        </w:tc>
        <w:tc>
          <w:tcPr>
            <w:tcW w:w="5104" w:type="dxa"/>
            <w:vAlign w:val="center"/>
          </w:tcPr>
          <w:p w14:paraId="6D48292C" w14:textId="6068C1F4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De 14 de setembro de 2026 a 28 de fevereiro de 2027</w:t>
            </w:r>
          </w:p>
        </w:tc>
      </w:tr>
      <w:tr w:rsidR="00CF10F2" w14:paraId="2D8AE864" w14:textId="77777777">
        <w:trPr>
          <w:cantSplit/>
        </w:trPr>
        <w:tc>
          <w:tcPr>
            <w:tcW w:w="3400" w:type="dxa"/>
            <w:vAlign w:val="center"/>
          </w:tcPr>
          <w:p w14:paraId="02148A31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Análise curricular e da carta de motivação</w:t>
            </w:r>
          </w:p>
        </w:tc>
        <w:tc>
          <w:tcPr>
            <w:tcW w:w="5104" w:type="dxa"/>
            <w:vAlign w:val="center"/>
          </w:tcPr>
          <w:p w14:paraId="690630CC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Em fluxo contínuo, em até 10 (dez) dias úteis após a inscrição</w:t>
            </w:r>
          </w:p>
        </w:tc>
      </w:tr>
      <w:tr w:rsidR="00CF10F2" w14:paraId="44EF5D70" w14:textId="77777777">
        <w:trPr>
          <w:cantSplit/>
        </w:trPr>
        <w:tc>
          <w:tcPr>
            <w:tcW w:w="3400" w:type="dxa"/>
            <w:vAlign w:val="center"/>
          </w:tcPr>
          <w:p w14:paraId="45020C7C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Entrevistas</w:t>
            </w:r>
          </w:p>
        </w:tc>
        <w:tc>
          <w:tcPr>
            <w:tcW w:w="5104" w:type="dxa"/>
            <w:vAlign w:val="center"/>
          </w:tcPr>
          <w:p w14:paraId="7AA5C7D0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Em fluxo contínuo, agendadas em até 15 (quinze) dias após a análise curricular</w:t>
            </w:r>
          </w:p>
        </w:tc>
      </w:tr>
      <w:tr w:rsidR="00CF10F2" w14:paraId="6AB432C8" w14:textId="77777777">
        <w:trPr>
          <w:cantSplit/>
        </w:trPr>
        <w:tc>
          <w:tcPr>
            <w:tcW w:w="3400" w:type="dxa"/>
            <w:vAlign w:val="center"/>
          </w:tcPr>
          <w:p w14:paraId="2DE07AAA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Comunicação do resultado</w:t>
            </w:r>
          </w:p>
        </w:tc>
        <w:tc>
          <w:tcPr>
            <w:tcW w:w="5104" w:type="dxa"/>
            <w:vAlign w:val="center"/>
          </w:tcPr>
          <w:p w14:paraId="17CE9198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Em até 10 (dez) dias úteis após a entrevista</w:t>
            </w:r>
          </w:p>
        </w:tc>
      </w:tr>
      <w:tr w:rsidR="00CF10F2" w14:paraId="22897017" w14:textId="77777777">
        <w:trPr>
          <w:cantSplit/>
        </w:trPr>
        <w:tc>
          <w:tcPr>
            <w:tcW w:w="3400" w:type="dxa"/>
            <w:vAlign w:val="center"/>
          </w:tcPr>
          <w:p w14:paraId="1E0D1633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Matrícula</w:t>
            </w:r>
          </w:p>
        </w:tc>
        <w:tc>
          <w:tcPr>
            <w:tcW w:w="5104" w:type="dxa"/>
            <w:vAlign w:val="center"/>
          </w:tcPr>
          <w:p w14:paraId="77195972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Conforme convocação individual, até 04 de março de 2027</w:t>
            </w:r>
          </w:p>
        </w:tc>
      </w:tr>
      <w:tr w:rsidR="00CF10F2" w14:paraId="17249F7E" w14:textId="77777777">
        <w:trPr>
          <w:cantSplit/>
        </w:trPr>
        <w:tc>
          <w:tcPr>
            <w:tcW w:w="3400" w:type="dxa"/>
            <w:vAlign w:val="center"/>
          </w:tcPr>
          <w:p w14:paraId="0D9DD7A2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Imersão Inaugural</w:t>
            </w:r>
          </w:p>
        </w:tc>
        <w:tc>
          <w:tcPr>
            <w:tcW w:w="5104" w:type="dxa"/>
            <w:vAlign w:val="center"/>
          </w:tcPr>
          <w:p w14:paraId="7B661AF2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05 e 06 de março de 2027</w:t>
            </w:r>
          </w:p>
        </w:tc>
      </w:tr>
    </w:tbl>
    <w:p w14:paraId="730755B3" w14:textId="77777777" w:rsidR="00CF10F2" w:rsidRDefault="00CF10F2">
      <w:pPr>
        <w:spacing w:line="276" w:lineRule="auto"/>
        <w:jc w:val="both"/>
      </w:pPr>
    </w:p>
    <w:p w14:paraId="7B6FA551" w14:textId="77777777" w:rsidR="00CF10F2" w:rsidRDefault="00493D21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As inscrições recebidas nos últimos 15 (quinze) dias do período terão análise e entrevista em regime abreviado, de modo a viabilizar a matrícula até 04 de março de 2027. Vagas remanescentes após essa data poderão ser preenchidas, a critério da Coordenação, por candidatos aprovados que ingressem até o início do segundo ciclo, com reposição dos conteúdos conforme orientação do programa.</w:t>
      </w:r>
    </w:p>
    <w:p w14:paraId="052606D8" w14:textId="2DE58DDA" w:rsidR="00972FE1" w:rsidRDefault="00493D21" w:rsidP="00AF6CAD">
      <w:pPr>
        <w:pStyle w:val="Ttulo1"/>
      </w:pPr>
      <w:r>
        <w:t>5. DA MATRÍCULA</w:t>
      </w:r>
    </w:p>
    <w:p w14:paraId="1EE14E09" w14:textId="5A81E98E" w:rsidR="00972FE1" w:rsidRDefault="00493D21" w:rsidP="00AF6CAD">
      <w:pPr>
        <w:pStyle w:val="PargrafodaLista"/>
        <w:numPr>
          <w:ilvl w:val="0"/>
          <w:numId w:val="6"/>
        </w:numPr>
        <w:tabs>
          <w:tab w:val="left" w:pos="45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A matrícula do candidato aprovado deverá ser realizada no prazo indicado na convocação enviada pela Secretaria Acadêmica da Fucape Vitória, respeitado o limite máximo de 04 de março de 2027, véspera da Imersão Inaugural.</w:t>
      </w:r>
    </w:p>
    <w:p w14:paraId="4C83C48A" w14:textId="5C5FA395" w:rsidR="00972FE1" w:rsidRDefault="00493D21" w:rsidP="00AF6CAD">
      <w:pPr>
        <w:pStyle w:val="PargrafodaLista"/>
        <w:numPr>
          <w:ilvl w:val="0"/>
          <w:numId w:val="6"/>
        </w:numPr>
        <w:tabs>
          <w:tab w:val="left" w:pos="45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Documentos exigidos no ato da matrícula, além dos já apresentados na inscrição:</w:t>
      </w:r>
    </w:p>
    <w:p w14:paraId="447B6046" w14:textId="11F0E4F8" w:rsidR="00972FE1" w:rsidRDefault="00493D21" w:rsidP="00AF6CAD">
      <w:pPr>
        <w:pStyle w:val="PargrafodaLista"/>
        <w:numPr>
          <w:ilvl w:val="1"/>
          <w:numId w:val="7"/>
        </w:numPr>
        <w:tabs>
          <w:tab w:val="left" w:pos="680"/>
          <w:tab w:val="left" w:pos="90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Diploma de Mestrado (ou ata de defesa acompanhada de declaração de conclusão) de programa reconhecido pelo MEC, histórico escolar do mestrado, documento de identidade, CPF, comprovante de residência e demais documentos indicados pela Secretaria Acadêmica no ato da convocação;</w:t>
      </w:r>
    </w:p>
    <w:p w14:paraId="6125B870" w14:textId="7439981F" w:rsidR="00972FE1" w:rsidRDefault="00493D21" w:rsidP="00AF6CAD">
      <w:pPr>
        <w:pStyle w:val="PargrafodaLista"/>
        <w:numPr>
          <w:ilvl w:val="0"/>
          <w:numId w:val="6"/>
        </w:numPr>
        <w:tabs>
          <w:tab w:val="left" w:pos="45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Caso haja pendência de documentação, a matrícula não será confirmada e o candidato perderá a vaga, podendo esta ser preenchida por candidato da lista de espera, quando houver.</w:t>
      </w:r>
    </w:p>
    <w:p w14:paraId="4C292F53" w14:textId="77777777" w:rsidR="00CF10F2" w:rsidRDefault="00493D21">
      <w:pPr>
        <w:pStyle w:val="PargrafodaLista"/>
        <w:numPr>
          <w:ilvl w:val="0"/>
          <w:numId w:val="6"/>
        </w:numPr>
        <w:tabs>
          <w:tab w:val="left" w:pos="45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Não efetivada a matrícula no prazo da convocação, a vaga será oferecida ao próximo candidato da lista de espera da respectiva linha de pesquisa.</w:t>
      </w:r>
    </w:p>
    <w:p w14:paraId="63097172" w14:textId="77777777" w:rsidR="00CF10F2" w:rsidRDefault="00493D21">
      <w:pPr>
        <w:pStyle w:val="PargrafodaLista"/>
        <w:numPr>
          <w:ilvl w:val="0"/>
          <w:numId w:val="6"/>
        </w:numPr>
        <w:tabs>
          <w:tab w:val="left" w:pos="45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A matrícula implica a assinatura do contrato de prestação de serviços educacionais e a adesão ao regulamento do programa e às normas acadêmicas da Fucape.</w:t>
      </w:r>
    </w:p>
    <w:p w14:paraId="7C520AA3" w14:textId="3D0D81D0" w:rsidR="00972FE1" w:rsidRDefault="00493D21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A Imersão Inaugural do DPCA será realizada em 05 e 06 de março de 2027, com Painel de Abertura conjunto com a turma do MPCA, seguido de atividades específicas do programa, conforme o Anexo I.</w:t>
      </w:r>
    </w:p>
    <w:p w14:paraId="0BA1B154" w14:textId="0F7F90B4" w:rsidR="00972FE1" w:rsidRDefault="00327452" w:rsidP="00327452">
      <w:pPr>
        <w:pStyle w:val="Ttulo1"/>
      </w:pPr>
      <w:r>
        <w:lastRenderedPageBreak/>
        <w:t>6. D</w:t>
      </w:r>
      <w:r w:rsidR="00493D21">
        <w:t>ISPOSIÇÕES GERAIS</w:t>
      </w:r>
    </w:p>
    <w:p w14:paraId="133CE768" w14:textId="01F202FA" w:rsidR="00972FE1" w:rsidRDefault="00493D21" w:rsidP="00AF6CAD">
      <w:pPr>
        <w:pStyle w:val="PargrafodaLista"/>
        <w:numPr>
          <w:ilvl w:val="2"/>
          <w:numId w:val="7"/>
        </w:numPr>
        <w:tabs>
          <w:tab w:val="left" w:pos="450"/>
        </w:tabs>
        <w:spacing w:line="276" w:lineRule="auto"/>
        <w:ind w:left="426"/>
        <w:jc w:val="both"/>
      </w:pPr>
      <w:r>
        <w:rPr>
          <w:rFonts w:ascii="Calibri" w:hAnsi="Calibri" w:cs="Calibri"/>
          <w:sz w:val="22"/>
          <w:szCs w:val="22"/>
        </w:rPr>
        <w:t>O presente Processo Seletivo é válido exclusivamente para matrícula na Turma 2027/1 do DPCA, não havendo reserva de vaga para turmas posteriores;</w:t>
      </w:r>
    </w:p>
    <w:p w14:paraId="22863FA6" w14:textId="10F8DCD6" w:rsidR="00972FE1" w:rsidRDefault="00493D21" w:rsidP="00AF6CAD">
      <w:pPr>
        <w:pStyle w:val="PargrafodaLista"/>
        <w:numPr>
          <w:ilvl w:val="2"/>
          <w:numId w:val="7"/>
        </w:numPr>
        <w:tabs>
          <w:tab w:val="left" w:pos="450"/>
        </w:tabs>
        <w:spacing w:line="276" w:lineRule="auto"/>
        <w:ind w:left="426"/>
        <w:jc w:val="both"/>
      </w:pPr>
      <w:r>
        <w:rPr>
          <w:rFonts w:ascii="Calibri" w:hAnsi="Calibri" w:cs="Calibri"/>
          <w:sz w:val="22"/>
          <w:szCs w:val="22"/>
        </w:rPr>
        <w:t>A matriz curricular e o cronograma constantes do Anexo I referem-se à Turma de Março/2027 e podem sofrer ajustes de calendário em razão de caso fortuito, força maior ou deliberação do colegiado do programa, os quais serão comunicados oportunamente aos alunos;</w:t>
      </w:r>
    </w:p>
    <w:p w14:paraId="134485FE" w14:textId="77777777" w:rsidR="00972FE1" w:rsidRDefault="00493D21" w:rsidP="00AF6CAD">
      <w:pPr>
        <w:pStyle w:val="PargrafodaLista"/>
        <w:numPr>
          <w:ilvl w:val="2"/>
          <w:numId w:val="7"/>
        </w:numPr>
        <w:tabs>
          <w:tab w:val="left" w:pos="450"/>
        </w:tabs>
        <w:spacing w:line="276" w:lineRule="auto"/>
        <w:ind w:left="426"/>
        <w:jc w:val="both"/>
      </w:pPr>
      <w:r>
        <w:rPr>
          <w:rFonts w:ascii="Calibri" w:hAnsi="Calibri" w:cs="Calibri"/>
          <w:sz w:val="22"/>
          <w:szCs w:val="22"/>
        </w:rPr>
        <w:t>O portfólio de disciplinas eletivas é rotativo e corresponde à oferta da Turma Março/2027, podendo ser renovado a cada novo ciclo; a oferta de cada eletiva está condicionada a número mínimo de alunos inscritos;</w:t>
      </w:r>
    </w:p>
    <w:p w14:paraId="46D52E13" w14:textId="363CBEA2" w:rsidR="00972FE1" w:rsidRDefault="00493D21" w:rsidP="00AF6CAD">
      <w:pPr>
        <w:pStyle w:val="PargrafodaLista"/>
        <w:numPr>
          <w:ilvl w:val="2"/>
          <w:numId w:val="7"/>
        </w:numPr>
        <w:tabs>
          <w:tab w:val="left" w:pos="450"/>
        </w:tabs>
        <w:spacing w:line="276" w:lineRule="auto"/>
        <w:ind w:left="426"/>
        <w:jc w:val="both"/>
      </w:pPr>
      <w:r>
        <w:rPr>
          <w:rFonts w:ascii="Calibri" w:hAnsi="Calibri" w:cs="Calibri"/>
          <w:sz w:val="22"/>
          <w:szCs w:val="22"/>
        </w:rPr>
        <w:t>As decisões da Comissão de Seleção relativas à análise curricular, à carta de motivação e à entrevista são definitivas;</w:t>
      </w:r>
    </w:p>
    <w:p w14:paraId="2508FCDA" w14:textId="16C233BF" w:rsidR="00972FE1" w:rsidRDefault="00493D21" w:rsidP="00AF6CAD">
      <w:pPr>
        <w:pStyle w:val="PargrafodaLista"/>
        <w:numPr>
          <w:ilvl w:val="2"/>
          <w:numId w:val="7"/>
        </w:numPr>
        <w:tabs>
          <w:tab w:val="left" w:pos="450"/>
        </w:tabs>
        <w:spacing w:line="276" w:lineRule="auto"/>
        <w:ind w:left="426"/>
        <w:jc w:val="both"/>
      </w:pPr>
      <w:r>
        <w:rPr>
          <w:rFonts w:ascii="Calibri" w:hAnsi="Calibri" w:cs="Calibri"/>
          <w:sz w:val="22"/>
          <w:szCs w:val="22"/>
        </w:rPr>
        <w:t>As normas complementares e as demais orientações e instruções publicadas no site oficial da instituição passam a integrar o presente Edital;</w:t>
      </w:r>
    </w:p>
    <w:p w14:paraId="7B556FB5" w14:textId="77777777" w:rsidR="00CF10F2" w:rsidRDefault="00493D21">
      <w:pPr>
        <w:pStyle w:val="PargrafodaLista"/>
        <w:numPr>
          <w:ilvl w:val="2"/>
          <w:numId w:val="7"/>
        </w:numPr>
        <w:tabs>
          <w:tab w:val="left" w:pos="450"/>
        </w:tabs>
        <w:spacing w:line="276" w:lineRule="auto"/>
        <w:ind w:left="426"/>
        <w:jc w:val="both"/>
      </w:pPr>
      <w:r>
        <w:rPr>
          <w:rFonts w:ascii="Calibri" w:hAnsi="Calibri" w:cs="Calibri"/>
          <w:sz w:val="22"/>
          <w:szCs w:val="22"/>
        </w:rPr>
        <w:t>A abertura da turma em cada linha de pesquisa está condicionada a número mínimo de alunos matriculados, definido pela Fucape. Caso o mínimo não seja atingido, o candidato aprovado poderá optar pela outra linha de pesquisa, por turma posterior ou pela devolução integral dos valores eventualmente pagos;</w:t>
      </w:r>
    </w:p>
    <w:p w14:paraId="258E87F6" w14:textId="77777777" w:rsidR="00CF10F2" w:rsidRDefault="00493D21" w:rsidP="00B326A0">
      <w:pPr>
        <w:pStyle w:val="PargrafodaLista"/>
        <w:numPr>
          <w:ilvl w:val="2"/>
          <w:numId w:val="7"/>
        </w:numPr>
        <w:tabs>
          <w:tab w:val="left" w:pos="450"/>
        </w:tabs>
        <w:spacing w:line="276" w:lineRule="auto"/>
        <w:ind w:left="426"/>
        <w:jc w:val="both"/>
      </w:pPr>
      <w:r w:rsidRPr="009221D6">
        <w:rPr>
          <w:rFonts w:ascii="Calibri" w:hAnsi="Calibri" w:cs="Calibri"/>
          <w:sz w:val="22"/>
          <w:szCs w:val="22"/>
        </w:rPr>
        <w:t>Os dados pessoais coletados no processo seletivo serão tratados exclusivamente para as finalidades de seleção, matrícula e comunicação institucional, em conformidade com a Lei nº 13.709/2018 (Lei Geral de Proteção de Dados Pessoais);</w:t>
      </w:r>
    </w:p>
    <w:p w14:paraId="6802BA09" w14:textId="77777777" w:rsidR="00CF10F2" w:rsidRDefault="00493D21">
      <w:pPr>
        <w:pStyle w:val="PargrafodaLista"/>
        <w:numPr>
          <w:ilvl w:val="2"/>
          <w:numId w:val="7"/>
        </w:numPr>
        <w:tabs>
          <w:tab w:val="left" w:pos="450"/>
        </w:tabs>
        <w:spacing w:line="276" w:lineRule="auto"/>
        <w:ind w:left="426"/>
        <w:jc w:val="both"/>
      </w:pPr>
      <w:r>
        <w:rPr>
          <w:rFonts w:ascii="Calibri" w:hAnsi="Calibri" w:cs="Calibri"/>
          <w:sz w:val="22"/>
          <w:szCs w:val="22"/>
        </w:rPr>
        <w:t>Os casos omissos serão resolvidos pela Comissão de Pós-Graduação, ouvida a Coordenação do programa;</w:t>
      </w:r>
    </w:p>
    <w:p w14:paraId="64D90891" w14:textId="13884613" w:rsidR="00972FE1" w:rsidRDefault="00493D21" w:rsidP="00AF6CAD">
      <w:pPr>
        <w:pStyle w:val="PargrafodaLista"/>
        <w:numPr>
          <w:ilvl w:val="2"/>
          <w:numId w:val="7"/>
        </w:numPr>
        <w:tabs>
          <w:tab w:val="left" w:pos="450"/>
        </w:tabs>
        <w:spacing w:line="276" w:lineRule="auto"/>
        <w:ind w:left="426"/>
        <w:jc w:val="both"/>
      </w:pPr>
      <w:r>
        <w:rPr>
          <w:rFonts w:ascii="Calibri" w:hAnsi="Calibri" w:cs="Calibri"/>
          <w:sz w:val="22"/>
          <w:szCs w:val="22"/>
        </w:rPr>
        <w:t>A participação do candidato no Processo Seletivo implica a aceitação de todos os termos previstos neste Edital.</w:t>
      </w:r>
    </w:p>
    <w:p w14:paraId="752A868D" w14:textId="77777777" w:rsidR="00972FE1" w:rsidRDefault="00972FE1">
      <w:pPr>
        <w:spacing w:after="200"/>
      </w:pPr>
    </w:p>
    <w:p w14:paraId="7B78D44B" w14:textId="3CAEC15C" w:rsidR="00972FE1" w:rsidRDefault="00493D21">
      <w:pPr>
        <w:spacing w:after="280" w:line="276" w:lineRule="auto"/>
      </w:pPr>
      <w:r>
        <w:rPr>
          <w:rFonts w:ascii="Calibri" w:hAnsi="Calibri" w:cs="Calibri"/>
          <w:sz w:val="22"/>
          <w:szCs w:val="22"/>
        </w:rPr>
        <w:t xml:space="preserve">Vitória, </w:t>
      </w:r>
      <w:r>
        <w:rPr>
          <w:rFonts w:ascii="Calibri" w:hAnsi="Calibri" w:cs="Calibri"/>
          <w:sz w:val="22"/>
          <w:szCs w:val="22"/>
        </w:rPr>
        <w:fldChar w:fldCharType="begin"/>
      </w:r>
      <w:r>
        <w:rPr>
          <w:rFonts w:ascii="Calibri" w:hAnsi="Calibri" w:cs="Calibri"/>
          <w:sz w:val="22"/>
          <w:szCs w:val="22"/>
        </w:rPr>
        <w:instrText xml:space="preserve"> TIME \@ "d 'de' MMMM 'de' yyyy" </w:instrText>
      </w:r>
      <w:r>
        <w:rPr>
          <w:rFonts w:ascii="Calibri" w:hAnsi="Calibri" w:cs="Calibri"/>
          <w:sz w:val="22"/>
          <w:szCs w:val="22"/>
        </w:rPr>
        <w:fldChar w:fldCharType="separate"/>
      </w:r>
      <w:r w:rsidR="00BF51D6">
        <w:rPr>
          <w:rFonts w:ascii="Calibri" w:hAnsi="Calibri" w:cs="Calibri"/>
          <w:noProof/>
          <w:sz w:val="22"/>
          <w:szCs w:val="22"/>
        </w:rPr>
        <w:t>9 de setembro de 2026</w:t>
      </w:r>
      <w:r>
        <w:rPr>
          <w:rFonts w:ascii="Calibri" w:hAnsi="Calibri" w:cs="Calibri"/>
          <w:sz w:val="22"/>
          <w:szCs w:val="22"/>
        </w:rPr>
        <w:fldChar w:fldCharType="end"/>
      </w:r>
      <w:r>
        <w:rPr>
          <w:rFonts w:ascii="Calibri" w:hAnsi="Calibri" w:cs="Calibri"/>
          <w:sz w:val="22"/>
          <w:szCs w:val="22"/>
        </w:rPr>
        <w:t>.</w:t>
      </w:r>
    </w:p>
    <w:p w14:paraId="657531DD" w14:textId="77777777" w:rsidR="00972FE1" w:rsidRDefault="00493D21">
      <w:pPr>
        <w:spacing w:after="20" w:line="276" w:lineRule="auto"/>
        <w:jc w:val="center"/>
      </w:pPr>
      <w:r>
        <w:rPr>
          <w:rFonts w:ascii="Calibri" w:hAnsi="Calibri" w:cs="Calibri"/>
          <w:b/>
          <w:bCs/>
          <w:sz w:val="22"/>
          <w:szCs w:val="22"/>
        </w:rPr>
        <w:t>Comissão de Pós-Graduação</w:t>
      </w:r>
    </w:p>
    <w:p w14:paraId="5C06C56C" w14:textId="232C123F" w:rsidR="00972FE1" w:rsidRPr="00C74873" w:rsidRDefault="00AF6CAD">
      <w:pPr>
        <w:spacing w:after="20" w:line="276" w:lineRule="auto"/>
        <w:jc w:val="center"/>
        <w:rPr>
          <w:lang w:val="en-US"/>
        </w:rPr>
      </w:pPr>
      <w:r>
        <w:rPr>
          <w:rFonts w:ascii="Calibri" w:hAnsi="Calibri" w:cs="Calibri"/>
          <w:b/>
          <w:bCs/>
          <w:sz w:val="22"/>
          <w:szCs w:val="22"/>
          <w:lang w:val="en-US"/>
        </w:rPr>
        <w:t>Fucape Business School — Vitória</w:t>
      </w:r>
    </w:p>
    <w:p w14:paraId="0AD0ADC8" w14:textId="77777777" w:rsidR="00972FE1" w:rsidRPr="00C74873" w:rsidRDefault="00493D21">
      <w:pPr>
        <w:spacing w:after="0"/>
        <w:rPr>
          <w:lang w:val="en-US"/>
        </w:rPr>
      </w:pPr>
      <w:r>
        <w:rPr>
          <w:lang w:val="en-US"/>
        </w:rPr>
        <w:br w:type="page"/>
      </w:r>
    </w:p>
    <w:p w14:paraId="4BA7EB06" w14:textId="177C626E" w:rsidR="00972FE1" w:rsidRPr="004774C4" w:rsidRDefault="00493D21">
      <w:pPr>
        <w:spacing w:after="40" w:line="276" w:lineRule="auto"/>
        <w:jc w:val="center"/>
        <w:rPr>
          <w:lang w:val="en-US"/>
        </w:rPr>
      </w:pPr>
      <w:r w:rsidRPr="004774C4">
        <w:rPr>
          <w:rFonts w:ascii="Calibri" w:hAnsi="Calibri" w:cs="Calibri"/>
          <w:b/>
          <w:bCs/>
          <w:color w:val="9C1D21"/>
          <w:sz w:val="26"/>
          <w:szCs w:val="26"/>
          <w:lang w:val="en-US"/>
        </w:rPr>
        <w:lastRenderedPageBreak/>
        <w:t>ANEXO I</w:t>
      </w:r>
    </w:p>
    <w:p w14:paraId="12D30D0C" w14:textId="77777777" w:rsidR="00972FE1" w:rsidRDefault="00493D21">
      <w:pPr>
        <w:spacing w:after="40" w:line="276" w:lineRule="auto"/>
        <w:jc w:val="center"/>
      </w:pPr>
      <w:r>
        <w:rPr>
          <w:rFonts w:ascii="Calibri" w:hAnsi="Calibri" w:cs="Calibri"/>
          <w:b/>
          <w:bCs/>
          <w:sz w:val="22"/>
          <w:szCs w:val="22"/>
        </w:rPr>
        <w:t>MATRIZ CURRICULAR — DPCA (Turma Março/2027)</w:t>
      </w:r>
    </w:p>
    <w:p w14:paraId="45A848DF" w14:textId="77777777" w:rsidR="00972FE1" w:rsidRDefault="00493D21">
      <w:pPr>
        <w:spacing w:line="276" w:lineRule="auto"/>
        <w:jc w:val="center"/>
      </w:pPr>
      <w:r>
        <w:rPr>
          <w:rFonts w:ascii="Calibri" w:hAnsi="Calibri" w:cs="Calibri"/>
          <w:i/>
          <w:iCs/>
          <w:sz w:val="22"/>
          <w:szCs w:val="22"/>
        </w:rPr>
        <w:t>Doutorado Profissional em Ciências Contábeis e Administração</w:t>
      </w:r>
    </w:p>
    <w:p w14:paraId="03F01369" w14:textId="70C24AFD" w:rsidR="00972FE1" w:rsidRDefault="00493D21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540h (29 componentes, incluindo Desafios de Mercado e Acompanhamento de Mercado) + Orientação contínua, além da Tese Aplicada (trabalho de conclusão individual) e do Produto Técnico-Tecnológico (PTT). 30 vagas por linha de pesquisa.</w:t>
      </w:r>
    </w:p>
    <w:tbl>
      <w:tblPr>
        <w:tblW w:w="85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2650"/>
        <w:gridCol w:w="1500"/>
        <w:gridCol w:w="500"/>
        <w:gridCol w:w="1850"/>
        <w:gridCol w:w="2004"/>
      </w:tblGrid>
      <w:tr w:rsidR="00972FE1" w14:paraId="3B82C7CB" w14:textId="77777777">
        <w:trPr>
          <w:cantSplit/>
          <w:tblHeader/>
        </w:trPr>
        <w:tc>
          <w:tcPr>
            <w:tcW w:w="2650" w:type="dxa"/>
            <w:shd w:val="clear" w:color="auto" w:fill="E9E9E9"/>
            <w:vAlign w:val="center"/>
          </w:tcPr>
          <w:p w14:paraId="2C254889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Disciplina</w:t>
            </w:r>
          </w:p>
        </w:tc>
        <w:tc>
          <w:tcPr>
            <w:tcW w:w="1500" w:type="dxa"/>
            <w:shd w:val="clear" w:color="auto" w:fill="E9E9E9"/>
            <w:vAlign w:val="center"/>
          </w:tcPr>
          <w:p w14:paraId="2D5C7BC0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Linha de Pesquisa</w:t>
            </w:r>
          </w:p>
        </w:tc>
        <w:tc>
          <w:tcPr>
            <w:tcW w:w="500" w:type="dxa"/>
            <w:shd w:val="clear" w:color="auto" w:fill="E9E9E9"/>
            <w:vAlign w:val="center"/>
          </w:tcPr>
          <w:p w14:paraId="50042F45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CH</w:t>
            </w:r>
          </w:p>
        </w:tc>
        <w:tc>
          <w:tcPr>
            <w:tcW w:w="1850" w:type="dxa"/>
            <w:shd w:val="clear" w:color="auto" w:fill="E9E9E9"/>
            <w:vAlign w:val="center"/>
          </w:tcPr>
          <w:p w14:paraId="4B963E96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Formato</w:t>
            </w:r>
          </w:p>
        </w:tc>
        <w:tc>
          <w:tcPr>
            <w:tcW w:w="2004" w:type="dxa"/>
            <w:shd w:val="clear" w:color="auto" w:fill="E9E9E9"/>
            <w:vAlign w:val="center"/>
          </w:tcPr>
          <w:p w14:paraId="5DEBD622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Datas previstas</w:t>
            </w:r>
          </w:p>
        </w:tc>
      </w:tr>
      <w:tr w:rsidR="00972FE1" w14:paraId="2CAAA46E" w14:textId="77777777">
        <w:trPr>
          <w:cantSplit/>
        </w:trPr>
        <w:tc>
          <w:tcPr>
            <w:tcW w:w="8504" w:type="dxa"/>
            <w:gridSpan w:val="5"/>
            <w:shd w:val="clear" w:color="auto" w:fill="F4F4F4"/>
            <w:vAlign w:val="center"/>
          </w:tcPr>
          <w:p w14:paraId="233790BD" w14:textId="77777777" w:rsidR="00972FE1" w:rsidRDefault="00493D21">
            <w:pPr>
              <w:spacing w:before="20" w:after="10" w:line="276" w:lineRule="auto"/>
            </w:pPr>
            <w:r>
              <w:rPr>
                <w:rFonts w:ascii="Calibri" w:hAnsi="Calibri" w:cs="Calibri"/>
                <w:b/>
                <w:bCs/>
                <w:color w:val="9C1D21"/>
                <w:sz w:val="18"/>
                <w:szCs w:val="18"/>
              </w:rPr>
              <w:t>CICLO 1 — IGNIÇÃO</w:t>
            </w:r>
          </w:p>
          <w:p w14:paraId="25B85BE8" w14:textId="77777777" w:rsidR="00972FE1" w:rsidRDefault="00493D21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crítica de evidências, economia aplicada à decisão executiva, decisão sob incerteza</w:t>
            </w:r>
          </w:p>
        </w:tc>
      </w:tr>
      <w:tr w:rsidR="00972FE1" w14:paraId="32C296DF" w14:textId="77777777">
        <w:trPr>
          <w:cantSplit/>
        </w:trPr>
        <w:tc>
          <w:tcPr>
            <w:tcW w:w="2650" w:type="dxa"/>
            <w:vAlign w:val="center"/>
          </w:tcPr>
          <w:p w14:paraId="2972DEF0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Análise Crítica de Evidências em Gestão</w:t>
            </w:r>
          </w:p>
          <w:p w14:paraId="36DF61E6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32BB7DB0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5DD18734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18h</w:t>
            </w:r>
          </w:p>
        </w:tc>
        <w:tc>
          <w:tcPr>
            <w:tcW w:w="1850" w:type="dxa"/>
            <w:vAlign w:val="center"/>
          </w:tcPr>
          <w:p w14:paraId="4A3CAD8E" w14:textId="68C3C8D0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Imersão Inaugural</w:t>
            </w:r>
          </w:p>
        </w:tc>
        <w:tc>
          <w:tcPr>
            <w:tcW w:w="2004" w:type="dxa"/>
            <w:vAlign w:val="center"/>
          </w:tcPr>
          <w:p w14:paraId="14DB0E5C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5–6/mar/27</w:t>
            </w:r>
          </w:p>
        </w:tc>
      </w:tr>
      <w:tr w:rsidR="00972FE1" w14:paraId="627A0132" w14:textId="77777777">
        <w:trPr>
          <w:cantSplit/>
        </w:trPr>
        <w:tc>
          <w:tcPr>
            <w:tcW w:w="2650" w:type="dxa"/>
            <w:vAlign w:val="center"/>
          </w:tcPr>
          <w:p w14:paraId="6E22AC5F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Economia Aplicada a Decisão Executiva</w:t>
            </w:r>
          </w:p>
          <w:p w14:paraId="433B9DAA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611C64D6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19555D08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7ADEB5F9" w14:textId="0BCCE554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 quinzenais — sexta e sábado</w:t>
            </w:r>
          </w:p>
        </w:tc>
        <w:tc>
          <w:tcPr>
            <w:tcW w:w="2004" w:type="dxa"/>
            <w:vAlign w:val="center"/>
          </w:tcPr>
          <w:p w14:paraId="4CF808E4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19–20/mar e 2–3/abr/27</w:t>
            </w:r>
          </w:p>
        </w:tc>
      </w:tr>
      <w:tr w:rsidR="00972FE1" w14:paraId="23E148BC" w14:textId="77777777">
        <w:trPr>
          <w:cantSplit/>
        </w:trPr>
        <w:tc>
          <w:tcPr>
            <w:tcW w:w="2650" w:type="dxa"/>
            <w:vAlign w:val="center"/>
          </w:tcPr>
          <w:p w14:paraId="7D8CCA5B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Métodos para Soluções Científicas e Tecnológicas</w:t>
            </w:r>
          </w:p>
          <w:p w14:paraId="1D3BF42E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20134A93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1F20B648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44FDA992" w14:textId="1914E958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 quinzenais — sexta e sábado</w:t>
            </w:r>
          </w:p>
        </w:tc>
        <w:tc>
          <w:tcPr>
            <w:tcW w:w="2004" w:type="dxa"/>
            <w:vAlign w:val="center"/>
          </w:tcPr>
          <w:p w14:paraId="525F0F78" w14:textId="276D224F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16–17/abr e 7–8/mai/27</w:t>
            </w:r>
          </w:p>
        </w:tc>
      </w:tr>
      <w:tr w:rsidR="00972FE1" w14:paraId="69CA7D18" w14:textId="77777777">
        <w:trPr>
          <w:cantSplit/>
        </w:trPr>
        <w:tc>
          <w:tcPr>
            <w:tcW w:w="2650" w:type="dxa"/>
            <w:vAlign w:val="center"/>
          </w:tcPr>
          <w:p w14:paraId="14B01B7B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Decisão Estratégica sob Incerteza</w:t>
            </w:r>
          </w:p>
          <w:p w14:paraId="431B0697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7ED89E93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574877CB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36h</w:t>
            </w:r>
          </w:p>
        </w:tc>
        <w:tc>
          <w:tcPr>
            <w:tcW w:w="1850" w:type="dxa"/>
            <w:vAlign w:val="center"/>
          </w:tcPr>
          <w:p w14:paraId="12289378" w14:textId="52488F56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Imersão, com encontro preparatório</w:t>
            </w:r>
          </w:p>
        </w:tc>
        <w:tc>
          <w:tcPr>
            <w:tcW w:w="2004" w:type="dxa"/>
            <w:vAlign w:val="center"/>
          </w:tcPr>
          <w:p w14:paraId="39AE2B93" w14:textId="20CA0AFD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 preparatório: 14–15/mai/27 | Imersão: 4–5/jun/27</w:t>
            </w:r>
          </w:p>
        </w:tc>
      </w:tr>
      <w:tr w:rsidR="00972FE1" w14:paraId="2BE7044C" w14:textId="77777777">
        <w:trPr>
          <w:cantSplit/>
        </w:trPr>
        <w:tc>
          <w:tcPr>
            <w:tcW w:w="8504" w:type="dxa"/>
            <w:gridSpan w:val="5"/>
            <w:shd w:val="clear" w:color="auto" w:fill="F4F4F4"/>
            <w:vAlign w:val="center"/>
          </w:tcPr>
          <w:p w14:paraId="182DE1A1" w14:textId="77777777" w:rsidR="00972FE1" w:rsidRDefault="00493D21">
            <w:pPr>
              <w:spacing w:before="20" w:after="10" w:line="276" w:lineRule="auto"/>
            </w:pPr>
            <w:r>
              <w:rPr>
                <w:rFonts w:ascii="Calibri" w:hAnsi="Calibri" w:cs="Calibri"/>
                <w:b/>
                <w:bCs/>
                <w:color w:val="9C1D21"/>
                <w:sz w:val="18"/>
                <w:szCs w:val="18"/>
              </w:rPr>
              <w:t>CICLO 2 — FUNDAMENTOS AVANÇADOS</w:t>
            </w:r>
          </w:p>
          <w:p w14:paraId="3335A426" w14:textId="77777777" w:rsidR="00972FE1" w:rsidRDefault="00493D21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profundidade teórica da área de concentração — trilha 100% avançada</w:t>
            </w:r>
          </w:p>
        </w:tc>
      </w:tr>
      <w:tr w:rsidR="00972FE1" w14:paraId="00D02403" w14:textId="77777777">
        <w:trPr>
          <w:cantSplit/>
        </w:trPr>
        <w:tc>
          <w:tcPr>
            <w:tcW w:w="2650" w:type="dxa"/>
            <w:vAlign w:val="center"/>
          </w:tcPr>
          <w:p w14:paraId="589C9DD1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Teoria Avançada em Contabilidade e Finanças</w:t>
            </w:r>
          </w:p>
          <w:p w14:paraId="0B5F3C56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5F9A67D0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Contabilidade, Controladoria e Finanças</w:t>
            </w:r>
          </w:p>
        </w:tc>
        <w:tc>
          <w:tcPr>
            <w:tcW w:w="500" w:type="dxa"/>
            <w:vAlign w:val="center"/>
          </w:tcPr>
          <w:p w14:paraId="418D75B9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6AEA07E8" w14:textId="1993C87C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 quinzenais — sexta e sábado</w:t>
            </w:r>
          </w:p>
        </w:tc>
        <w:tc>
          <w:tcPr>
            <w:tcW w:w="2004" w:type="dxa"/>
            <w:vAlign w:val="center"/>
          </w:tcPr>
          <w:p w14:paraId="2F3E36FC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11–12/jun · 25–26/jun · 13–14/ago/27</w:t>
            </w:r>
          </w:p>
        </w:tc>
      </w:tr>
      <w:tr w:rsidR="00972FE1" w14:paraId="34DE90FA" w14:textId="77777777">
        <w:trPr>
          <w:cantSplit/>
        </w:trPr>
        <w:tc>
          <w:tcPr>
            <w:tcW w:w="2650" w:type="dxa"/>
            <w:vAlign w:val="center"/>
          </w:tcPr>
          <w:p w14:paraId="4C023EFC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Teoria Avançada em Organizações</w:t>
            </w:r>
          </w:p>
          <w:p w14:paraId="0D3736B9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1A3B08BD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Estratégia e Organização</w:t>
            </w:r>
          </w:p>
        </w:tc>
        <w:tc>
          <w:tcPr>
            <w:tcW w:w="500" w:type="dxa"/>
            <w:vAlign w:val="center"/>
          </w:tcPr>
          <w:p w14:paraId="65CAF09B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357D621F" w14:textId="02F209F1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 quinzenais — sexta e sábado</w:t>
            </w:r>
          </w:p>
        </w:tc>
        <w:tc>
          <w:tcPr>
            <w:tcW w:w="2004" w:type="dxa"/>
            <w:vAlign w:val="center"/>
          </w:tcPr>
          <w:p w14:paraId="262A03C0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11–12/jun · 25–26/jun · 13–14/ago/27</w:t>
            </w:r>
          </w:p>
        </w:tc>
      </w:tr>
      <w:tr w:rsidR="00972FE1" w14:paraId="2297134A" w14:textId="77777777">
        <w:trPr>
          <w:cantSplit/>
        </w:trPr>
        <w:tc>
          <w:tcPr>
            <w:tcW w:w="2650" w:type="dxa"/>
            <w:vAlign w:val="center"/>
          </w:tcPr>
          <w:p w14:paraId="596C9173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Contabilidade Societária Avançada</w:t>
            </w:r>
          </w:p>
          <w:p w14:paraId="3514BF52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77FC7EC2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Contabilidade, Controladoria e Finanças</w:t>
            </w:r>
          </w:p>
        </w:tc>
        <w:tc>
          <w:tcPr>
            <w:tcW w:w="500" w:type="dxa"/>
            <w:vAlign w:val="center"/>
          </w:tcPr>
          <w:p w14:paraId="2C97CDBE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56BCAFD7" w14:textId="70A0B1AF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 quinzenais — sexta e sábado</w:t>
            </w:r>
          </w:p>
        </w:tc>
        <w:tc>
          <w:tcPr>
            <w:tcW w:w="2004" w:type="dxa"/>
            <w:vAlign w:val="center"/>
          </w:tcPr>
          <w:p w14:paraId="1FB29F54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27–28/ago · 10–11/set · 24–25/set/27</w:t>
            </w:r>
          </w:p>
        </w:tc>
      </w:tr>
      <w:tr w:rsidR="00972FE1" w14:paraId="1B7B5DC9" w14:textId="77777777">
        <w:trPr>
          <w:cantSplit/>
        </w:trPr>
        <w:tc>
          <w:tcPr>
            <w:tcW w:w="2650" w:type="dxa"/>
            <w:vAlign w:val="center"/>
          </w:tcPr>
          <w:p w14:paraId="18CBB316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Finanças Corporativas</w:t>
            </w:r>
          </w:p>
          <w:p w14:paraId="59A2051E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37AB3D98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Estratégia e Organização</w:t>
            </w:r>
          </w:p>
        </w:tc>
        <w:tc>
          <w:tcPr>
            <w:tcW w:w="500" w:type="dxa"/>
            <w:vAlign w:val="center"/>
          </w:tcPr>
          <w:p w14:paraId="3F66C710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64EF784B" w14:textId="6762985F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 quinzenais — sexta e sábado</w:t>
            </w:r>
          </w:p>
        </w:tc>
        <w:tc>
          <w:tcPr>
            <w:tcW w:w="2004" w:type="dxa"/>
            <w:vAlign w:val="center"/>
          </w:tcPr>
          <w:p w14:paraId="51E6BA06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27–28/ago · 10–11/set · 24–25/set/27</w:t>
            </w:r>
          </w:p>
        </w:tc>
      </w:tr>
      <w:tr w:rsidR="00972FE1" w14:paraId="017D5F9E" w14:textId="77777777">
        <w:trPr>
          <w:cantSplit/>
        </w:trPr>
        <w:tc>
          <w:tcPr>
            <w:tcW w:w="2650" w:type="dxa"/>
            <w:vAlign w:val="center"/>
          </w:tcPr>
          <w:p w14:paraId="66C9A72F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Equity Valuation</w:t>
            </w:r>
          </w:p>
          <w:p w14:paraId="611F94A2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1395ED89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Contabilidade, Controladoria e Finanças</w:t>
            </w:r>
          </w:p>
        </w:tc>
        <w:tc>
          <w:tcPr>
            <w:tcW w:w="500" w:type="dxa"/>
            <w:vAlign w:val="center"/>
          </w:tcPr>
          <w:p w14:paraId="79C65CB5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36h</w:t>
            </w:r>
          </w:p>
        </w:tc>
        <w:tc>
          <w:tcPr>
            <w:tcW w:w="1850" w:type="dxa"/>
            <w:vAlign w:val="center"/>
          </w:tcPr>
          <w:p w14:paraId="49DF97F2" w14:textId="4C7C7098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Imersão, com encontro preparatório</w:t>
            </w:r>
          </w:p>
        </w:tc>
        <w:tc>
          <w:tcPr>
            <w:tcW w:w="2004" w:type="dxa"/>
            <w:vAlign w:val="center"/>
          </w:tcPr>
          <w:p w14:paraId="21D4F310" w14:textId="5CF84944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 preparatório: 8–9/out/27 | Imersão: 22–23/out/27</w:t>
            </w:r>
          </w:p>
        </w:tc>
      </w:tr>
      <w:tr w:rsidR="00972FE1" w14:paraId="7B838C9F" w14:textId="77777777">
        <w:trPr>
          <w:cantSplit/>
        </w:trPr>
        <w:tc>
          <w:tcPr>
            <w:tcW w:w="2650" w:type="dxa"/>
            <w:vAlign w:val="center"/>
          </w:tcPr>
          <w:p w14:paraId="41C9E9B8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Comportamento do Consumidor</w:t>
            </w:r>
          </w:p>
          <w:p w14:paraId="7A180FF5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082926B0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Estratégia e Organização</w:t>
            </w:r>
          </w:p>
        </w:tc>
        <w:tc>
          <w:tcPr>
            <w:tcW w:w="500" w:type="dxa"/>
            <w:vAlign w:val="center"/>
          </w:tcPr>
          <w:p w14:paraId="2DBDEB01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36h</w:t>
            </w:r>
          </w:p>
        </w:tc>
        <w:tc>
          <w:tcPr>
            <w:tcW w:w="1850" w:type="dxa"/>
            <w:vAlign w:val="center"/>
          </w:tcPr>
          <w:p w14:paraId="69ED60A0" w14:textId="3C1F8B92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Imersão, com encontro preparatório</w:t>
            </w:r>
          </w:p>
        </w:tc>
        <w:tc>
          <w:tcPr>
            <w:tcW w:w="2004" w:type="dxa"/>
            <w:vAlign w:val="center"/>
          </w:tcPr>
          <w:p w14:paraId="52A0BD1B" w14:textId="213A4006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 preparatório: 8–9/out/27 | Imersão: 22–23/out/27</w:t>
            </w:r>
          </w:p>
        </w:tc>
      </w:tr>
      <w:tr w:rsidR="00972FE1" w14:paraId="08F91F3E" w14:textId="77777777">
        <w:trPr>
          <w:cantSplit/>
        </w:trPr>
        <w:tc>
          <w:tcPr>
            <w:tcW w:w="8504" w:type="dxa"/>
            <w:gridSpan w:val="5"/>
            <w:shd w:val="clear" w:color="auto" w:fill="F4F4F4"/>
            <w:vAlign w:val="center"/>
          </w:tcPr>
          <w:p w14:paraId="00B6AB79" w14:textId="77777777" w:rsidR="00972FE1" w:rsidRDefault="00493D21">
            <w:pPr>
              <w:spacing w:before="20" w:after="10" w:line="276" w:lineRule="auto"/>
            </w:pPr>
            <w:r>
              <w:rPr>
                <w:rFonts w:ascii="Calibri" w:hAnsi="Calibri" w:cs="Calibri"/>
                <w:b/>
                <w:bCs/>
                <w:color w:val="9C1D21"/>
                <w:sz w:val="18"/>
                <w:szCs w:val="18"/>
              </w:rPr>
              <w:t>CICLO 3 — FRONTEIRAS DO CONHECIMENTO — ELETIVAS</w:t>
            </w:r>
          </w:p>
          <w:p w14:paraId="7ADCF03C" w14:textId="77777777" w:rsidR="00972FE1" w:rsidRDefault="00493D21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3 blocos de eletivas, mesmas turmas do MPCA, com syllabus de nível doutoral; o aluno escolhe 1 disciplina por bloco</w:t>
            </w:r>
          </w:p>
        </w:tc>
      </w:tr>
      <w:tr w:rsidR="00972FE1" w14:paraId="42FE7957" w14:textId="77777777">
        <w:trPr>
          <w:cantSplit/>
        </w:trPr>
        <w:tc>
          <w:tcPr>
            <w:tcW w:w="2650" w:type="dxa"/>
            <w:vAlign w:val="center"/>
          </w:tcPr>
          <w:p w14:paraId="58304CB0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Gestão de Riscos e Controles Internos</w:t>
            </w:r>
          </w:p>
          <w:p w14:paraId="4FFADA7F" w14:textId="77777777" w:rsidR="00972FE1" w:rsidRDefault="00493D21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5"/>
                <w:szCs w:val="15"/>
              </w:rPr>
              <w:t>Optativa (Bloco 1)</w:t>
            </w:r>
          </w:p>
        </w:tc>
        <w:tc>
          <w:tcPr>
            <w:tcW w:w="1500" w:type="dxa"/>
            <w:vAlign w:val="center"/>
          </w:tcPr>
          <w:p w14:paraId="659D1CD1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5767603B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33E39D43" w14:textId="4FB40691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 quinzenais — sexta e sábado</w:t>
            </w:r>
          </w:p>
        </w:tc>
        <w:tc>
          <w:tcPr>
            <w:tcW w:w="2004" w:type="dxa"/>
            <w:vAlign w:val="center"/>
          </w:tcPr>
          <w:p w14:paraId="3E14E769" w14:textId="486CD59F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5–6/nov e 26–27/nov/27</w:t>
            </w:r>
          </w:p>
        </w:tc>
      </w:tr>
      <w:tr w:rsidR="00972FE1" w14:paraId="545F9FEC" w14:textId="77777777">
        <w:trPr>
          <w:cantSplit/>
        </w:trPr>
        <w:tc>
          <w:tcPr>
            <w:tcW w:w="2650" w:type="dxa"/>
            <w:vAlign w:val="center"/>
          </w:tcPr>
          <w:p w14:paraId="3781E269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Análise de Custos</w:t>
            </w:r>
          </w:p>
          <w:p w14:paraId="0CD7ADE4" w14:textId="77777777" w:rsidR="00972FE1" w:rsidRDefault="00493D21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5"/>
                <w:szCs w:val="15"/>
              </w:rPr>
              <w:t>Optativa (Bloco 1)</w:t>
            </w:r>
          </w:p>
        </w:tc>
        <w:tc>
          <w:tcPr>
            <w:tcW w:w="1500" w:type="dxa"/>
            <w:vAlign w:val="center"/>
          </w:tcPr>
          <w:p w14:paraId="4936ABD7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516B30CB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183BC5D9" w14:textId="0B7434A3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 quinzenais — sexta e sábado</w:t>
            </w:r>
          </w:p>
        </w:tc>
        <w:tc>
          <w:tcPr>
            <w:tcW w:w="2004" w:type="dxa"/>
            <w:vAlign w:val="center"/>
          </w:tcPr>
          <w:p w14:paraId="4821D11A" w14:textId="04140BE3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5–6/nov e 26–27/nov/27</w:t>
            </w:r>
          </w:p>
        </w:tc>
      </w:tr>
      <w:tr w:rsidR="00972FE1" w14:paraId="40596215" w14:textId="77777777">
        <w:trPr>
          <w:cantSplit/>
        </w:trPr>
        <w:tc>
          <w:tcPr>
            <w:tcW w:w="2650" w:type="dxa"/>
            <w:vAlign w:val="center"/>
          </w:tcPr>
          <w:p w14:paraId="7386F387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Gestão da Inovação</w:t>
            </w:r>
          </w:p>
          <w:p w14:paraId="1B39773C" w14:textId="77777777" w:rsidR="00972FE1" w:rsidRDefault="00493D21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5"/>
                <w:szCs w:val="15"/>
              </w:rPr>
              <w:t>Optativa (Bloco 1)</w:t>
            </w:r>
          </w:p>
        </w:tc>
        <w:tc>
          <w:tcPr>
            <w:tcW w:w="1500" w:type="dxa"/>
            <w:vAlign w:val="center"/>
          </w:tcPr>
          <w:p w14:paraId="069FEF93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40B68569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3528F106" w14:textId="20799E5A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 quinzenais — sexta e sábado</w:t>
            </w:r>
          </w:p>
        </w:tc>
        <w:tc>
          <w:tcPr>
            <w:tcW w:w="2004" w:type="dxa"/>
            <w:vAlign w:val="center"/>
          </w:tcPr>
          <w:p w14:paraId="7EB351E3" w14:textId="74BCAE85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5–6/nov e 26–27/nov/27</w:t>
            </w:r>
          </w:p>
        </w:tc>
      </w:tr>
      <w:tr w:rsidR="00972FE1" w14:paraId="63C53FAD" w14:textId="77777777">
        <w:trPr>
          <w:cantSplit/>
        </w:trPr>
        <w:tc>
          <w:tcPr>
            <w:tcW w:w="2650" w:type="dxa"/>
            <w:vAlign w:val="center"/>
          </w:tcPr>
          <w:p w14:paraId="401499C5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lastRenderedPageBreak/>
              <w:t>ESG e Relatórios de Sustentabilidade</w:t>
            </w:r>
          </w:p>
          <w:p w14:paraId="715BE1BF" w14:textId="77777777" w:rsidR="00972FE1" w:rsidRDefault="00493D21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5"/>
                <w:szCs w:val="15"/>
              </w:rPr>
              <w:t>Optativa (Bloco 1)</w:t>
            </w:r>
          </w:p>
        </w:tc>
        <w:tc>
          <w:tcPr>
            <w:tcW w:w="1500" w:type="dxa"/>
            <w:vAlign w:val="center"/>
          </w:tcPr>
          <w:p w14:paraId="6CF04BA7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59933BD4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006B1F18" w14:textId="1EFD5FF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 quinzenais — sexta e sábado</w:t>
            </w:r>
          </w:p>
        </w:tc>
        <w:tc>
          <w:tcPr>
            <w:tcW w:w="2004" w:type="dxa"/>
            <w:vAlign w:val="center"/>
          </w:tcPr>
          <w:p w14:paraId="28947E7D" w14:textId="79573C3A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5–6/nov e 26–27/nov/27</w:t>
            </w:r>
          </w:p>
        </w:tc>
      </w:tr>
      <w:tr w:rsidR="00972FE1" w14:paraId="5AE52F1D" w14:textId="77777777">
        <w:trPr>
          <w:cantSplit/>
        </w:trPr>
        <w:tc>
          <w:tcPr>
            <w:tcW w:w="2650" w:type="dxa"/>
            <w:vAlign w:val="center"/>
          </w:tcPr>
          <w:p w14:paraId="2128B304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Governança Corporativa e Compliance</w:t>
            </w:r>
          </w:p>
          <w:p w14:paraId="3168768C" w14:textId="77777777" w:rsidR="00972FE1" w:rsidRDefault="00493D21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5"/>
                <w:szCs w:val="15"/>
              </w:rPr>
              <w:t>Optativa (Bloco 2)</w:t>
            </w:r>
          </w:p>
        </w:tc>
        <w:tc>
          <w:tcPr>
            <w:tcW w:w="1500" w:type="dxa"/>
            <w:vAlign w:val="center"/>
          </w:tcPr>
          <w:p w14:paraId="0F98A763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6E5A423A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17AB8CEE" w14:textId="19428C9D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 quinzenais — sexta e sábado</w:t>
            </w:r>
          </w:p>
        </w:tc>
        <w:tc>
          <w:tcPr>
            <w:tcW w:w="2004" w:type="dxa"/>
            <w:vAlign w:val="center"/>
          </w:tcPr>
          <w:p w14:paraId="2B4A427B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3–4/dez e 17–18/dez/27</w:t>
            </w:r>
          </w:p>
        </w:tc>
      </w:tr>
      <w:tr w:rsidR="00972FE1" w14:paraId="566A2051" w14:textId="77777777">
        <w:trPr>
          <w:cantSplit/>
        </w:trPr>
        <w:tc>
          <w:tcPr>
            <w:tcW w:w="2650" w:type="dxa"/>
            <w:vAlign w:val="center"/>
          </w:tcPr>
          <w:p w14:paraId="254D61D9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Planejamento Tributário</w:t>
            </w:r>
          </w:p>
          <w:p w14:paraId="24AF9468" w14:textId="77777777" w:rsidR="00972FE1" w:rsidRDefault="00493D21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5"/>
                <w:szCs w:val="15"/>
              </w:rPr>
              <w:t>Optativa (Bloco 2)</w:t>
            </w:r>
          </w:p>
        </w:tc>
        <w:tc>
          <w:tcPr>
            <w:tcW w:w="1500" w:type="dxa"/>
            <w:vAlign w:val="center"/>
          </w:tcPr>
          <w:p w14:paraId="7EDD13B3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0249A388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5E13424A" w14:textId="435347D2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 quinzenais — sexta e sábado</w:t>
            </w:r>
          </w:p>
        </w:tc>
        <w:tc>
          <w:tcPr>
            <w:tcW w:w="2004" w:type="dxa"/>
            <w:vAlign w:val="center"/>
          </w:tcPr>
          <w:p w14:paraId="23E2FF55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3–4/dez e 17–18/dez/27</w:t>
            </w:r>
          </w:p>
        </w:tc>
      </w:tr>
      <w:tr w:rsidR="00972FE1" w14:paraId="26B79484" w14:textId="77777777">
        <w:trPr>
          <w:cantSplit/>
        </w:trPr>
        <w:tc>
          <w:tcPr>
            <w:tcW w:w="2650" w:type="dxa"/>
            <w:vAlign w:val="center"/>
          </w:tcPr>
          <w:p w14:paraId="4066A55B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Gestão da Mudança e Transformação Organizacional</w:t>
            </w:r>
          </w:p>
          <w:p w14:paraId="3CE27D69" w14:textId="77777777" w:rsidR="00972FE1" w:rsidRDefault="00493D21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5"/>
                <w:szCs w:val="15"/>
              </w:rPr>
              <w:t>Optativa (Bloco 2)</w:t>
            </w:r>
          </w:p>
        </w:tc>
        <w:tc>
          <w:tcPr>
            <w:tcW w:w="1500" w:type="dxa"/>
            <w:vAlign w:val="center"/>
          </w:tcPr>
          <w:p w14:paraId="57F1E774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764943D3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73BBEB10" w14:textId="5FFCE2F6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 quinzenais — sexta e sábado</w:t>
            </w:r>
          </w:p>
        </w:tc>
        <w:tc>
          <w:tcPr>
            <w:tcW w:w="2004" w:type="dxa"/>
            <w:vAlign w:val="center"/>
          </w:tcPr>
          <w:p w14:paraId="0B35B6EF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3–4/dez e 17–18/dez/27</w:t>
            </w:r>
          </w:p>
        </w:tc>
      </w:tr>
      <w:tr w:rsidR="00972FE1" w14:paraId="40F2E53E" w14:textId="77777777">
        <w:trPr>
          <w:cantSplit/>
        </w:trPr>
        <w:tc>
          <w:tcPr>
            <w:tcW w:w="2650" w:type="dxa"/>
            <w:vAlign w:val="center"/>
          </w:tcPr>
          <w:p w14:paraId="6BC94D70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Análise e Avaliação de Projetos</w:t>
            </w:r>
          </w:p>
          <w:p w14:paraId="24ACB873" w14:textId="77777777" w:rsidR="00972FE1" w:rsidRDefault="00493D21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5"/>
                <w:szCs w:val="15"/>
              </w:rPr>
              <w:t>Optativa (Bloco 2)</w:t>
            </w:r>
          </w:p>
        </w:tc>
        <w:tc>
          <w:tcPr>
            <w:tcW w:w="1500" w:type="dxa"/>
            <w:vAlign w:val="center"/>
          </w:tcPr>
          <w:p w14:paraId="112CE9E0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0314DE8A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52AA1565" w14:textId="0B53F454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 quinzenais — sexta e sábado</w:t>
            </w:r>
          </w:p>
        </w:tc>
        <w:tc>
          <w:tcPr>
            <w:tcW w:w="2004" w:type="dxa"/>
            <w:vAlign w:val="center"/>
          </w:tcPr>
          <w:p w14:paraId="6203A58C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3–4/dez e 17–18/dez/27</w:t>
            </w:r>
          </w:p>
        </w:tc>
      </w:tr>
      <w:tr w:rsidR="00972FE1" w14:paraId="0E2402B8" w14:textId="77777777">
        <w:trPr>
          <w:cantSplit/>
        </w:trPr>
        <w:tc>
          <w:tcPr>
            <w:tcW w:w="2650" w:type="dxa"/>
            <w:vAlign w:val="center"/>
          </w:tcPr>
          <w:p w14:paraId="41515F41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Avaliação de Empresas e Estratégias de M&amp;A</w:t>
            </w:r>
          </w:p>
          <w:p w14:paraId="69C01162" w14:textId="77777777" w:rsidR="00972FE1" w:rsidRDefault="00493D21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5"/>
                <w:szCs w:val="15"/>
              </w:rPr>
              <w:t>Optativa (Bloco 3)</w:t>
            </w:r>
          </w:p>
        </w:tc>
        <w:tc>
          <w:tcPr>
            <w:tcW w:w="1500" w:type="dxa"/>
            <w:vAlign w:val="center"/>
          </w:tcPr>
          <w:p w14:paraId="0867D577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1274E92F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36h</w:t>
            </w:r>
          </w:p>
        </w:tc>
        <w:tc>
          <w:tcPr>
            <w:tcW w:w="1850" w:type="dxa"/>
            <w:vAlign w:val="center"/>
          </w:tcPr>
          <w:p w14:paraId="2A227755" w14:textId="2ED0E035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Imersão, com encontro preparatório</w:t>
            </w:r>
          </w:p>
        </w:tc>
        <w:tc>
          <w:tcPr>
            <w:tcW w:w="2004" w:type="dxa"/>
            <w:vAlign w:val="center"/>
          </w:tcPr>
          <w:p w14:paraId="0748C7C2" w14:textId="1E3612BE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 preparatório: 11–12/fev/28 | Imersão: 25–26/fev/28</w:t>
            </w:r>
          </w:p>
        </w:tc>
      </w:tr>
      <w:tr w:rsidR="00972FE1" w14:paraId="7C7E8607" w14:textId="77777777">
        <w:trPr>
          <w:cantSplit/>
        </w:trPr>
        <w:tc>
          <w:tcPr>
            <w:tcW w:w="2650" w:type="dxa"/>
            <w:vAlign w:val="center"/>
          </w:tcPr>
          <w:p w14:paraId="16890AE3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Negociação e Resolução de Conflitos Complexos</w:t>
            </w:r>
          </w:p>
          <w:p w14:paraId="2273693A" w14:textId="77777777" w:rsidR="00972FE1" w:rsidRDefault="00493D21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5"/>
                <w:szCs w:val="15"/>
              </w:rPr>
              <w:t>Optativa (Bloco 3)</w:t>
            </w:r>
          </w:p>
        </w:tc>
        <w:tc>
          <w:tcPr>
            <w:tcW w:w="1500" w:type="dxa"/>
            <w:vAlign w:val="center"/>
          </w:tcPr>
          <w:p w14:paraId="4098A9D7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3BB879CB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36h</w:t>
            </w:r>
          </w:p>
        </w:tc>
        <w:tc>
          <w:tcPr>
            <w:tcW w:w="1850" w:type="dxa"/>
            <w:vAlign w:val="center"/>
          </w:tcPr>
          <w:p w14:paraId="2F252EAC" w14:textId="1B79D36D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Imersão, com encontro preparatório</w:t>
            </w:r>
          </w:p>
        </w:tc>
        <w:tc>
          <w:tcPr>
            <w:tcW w:w="2004" w:type="dxa"/>
            <w:vAlign w:val="center"/>
          </w:tcPr>
          <w:p w14:paraId="407C52BA" w14:textId="2BB0AC41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 preparatório: 11–12/fev/28 | Imersão: 25–26/fev/28</w:t>
            </w:r>
          </w:p>
        </w:tc>
      </w:tr>
      <w:tr w:rsidR="00972FE1" w14:paraId="2BE9433C" w14:textId="77777777">
        <w:trPr>
          <w:cantSplit/>
        </w:trPr>
        <w:tc>
          <w:tcPr>
            <w:tcW w:w="2650" w:type="dxa"/>
            <w:vAlign w:val="center"/>
          </w:tcPr>
          <w:p w14:paraId="1CE8C04B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Laboratório de IA e Analytics para Decisão Executiva</w:t>
            </w:r>
          </w:p>
          <w:p w14:paraId="2825B991" w14:textId="77777777" w:rsidR="00972FE1" w:rsidRDefault="00493D21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5"/>
                <w:szCs w:val="15"/>
              </w:rPr>
              <w:t>Optativa (Bloco 3)</w:t>
            </w:r>
          </w:p>
        </w:tc>
        <w:tc>
          <w:tcPr>
            <w:tcW w:w="1500" w:type="dxa"/>
            <w:vAlign w:val="center"/>
          </w:tcPr>
          <w:p w14:paraId="4A4CAB9E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7A60B239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36h</w:t>
            </w:r>
          </w:p>
        </w:tc>
        <w:tc>
          <w:tcPr>
            <w:tcW w:w="1850" w:type="dxa"/>
            <w:vAlign w:val="center"/>
          </w:tcPr>
          <w:p w14:paraId="6AA22F23" w14:textId="33CD012C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Imersão, com encontro preparatório</w:t>
            </w:r>
          </w:p>
        </w:tc>
        <w:tc>
          <w:tcPr>
            <w:tcW w:w="2004" w:type="dxa"/>
            <w:vAlign w:val="center"/>
          </w:tcPr>
          <w:p w14:paraId="6AF74A46" w14:textId="5AB2BA5E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 preparatório: 11–12/fev/28 | Imersão: 25–26/fev/28</w:t>
            </w:r>
          </w:p>
        </w:tc>
      </w:tr>
      <w:tr w:rsidR="00972FE1" w14:paraId="0CFDECEB" w14:textId="77777777">
        <w:trPr>
          <w:cantSplit/>
        </w:trPr>
        <w:tc>
          <w:tcPr>
            <w:tcW w:w="8504" w:type="dxa"/>
            <w:gridSpan w:val="5"/>
            <w:shd w:val="clear" w:color="auto" w:fill="F4F4F4"/>
            <w:vAlign w:val="center"/>
          </w:tcPr>
          <w:p w14:paraId="2EC52C8A" w14:textId="77777777" w:rsidR="00972FE1" w:rsidRDefault="00493D21">
            <w:pPr>
              <w:spacing w:before="20" w:after="10" w:line="276" w:lineRule="auto"/>
            </w:pPr>
            <w:r>
              <w:rPr>
                <w:rFonts w:ascii="Calibri" w:hAnsi="Calibri" w:cs="Calibri"/>
                <w:b/>
                <w:bCs/>
                <w:color w:val="9C1D21"/>
                <w:sz w:val="18"/>
                <w:szCs w:val="18"/>
              </w:rPr>
              <w:t>CICLO 4 — RIGOR E RELEVÂNCIA</w:t>
            </w:r>
          </w:p>
          <w:p w14:paraId="5D4A7882" w14:textId="77777777" w:rsidR="00972FE1" w:rsidRDefault="00493D21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arsenal metodológico completo, incluindo Inferência Causal Aplicada a Negócios (exclusiva do DPCA)</w:t>
            </w:r>
          </w:p>
        </w:tc>
      </w:tr>
      <w:tr w:rsidR="00972FE1" w14:paraId="724D84F4" w14:textId="77777777">
        <w:trPr>
          <w:cantSplit/>
        </w:trPr>
        <w:tc>
          <w:tcPr>
            <w:tcW w:w="2650" w:type="dxa"/>
            <w:vAlign w:val="center"/>
          </w:tcPr>
          <w:p w14:paraId="0476B71C" w14:textId="15A489A2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Métodos Quantitativos Aplicados (turma conjunta com o MPCA)</w:t>
            </w:r>
          </w:p>
          <w:p w14:paraId="595B6870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22C28487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1B6301D7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404A63EE" w14:textId="6440CB64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Sábados quinzenais</w:t>
            </w:r>
          </w:p>
        </w:tc>
        <w:tc>
          <w:tcPr>
            <w:tcW w:w="2004" w:type="dxa"/>
            <w:vAlign w:val="center"/>
          </w:tcPr>
          <w:p w14:paraId="00E87E9A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11/mar, 25/mar e 8/abr/28</w:t>
            </w:r>
          </w:p>
        </w:tc>
      </w:tr>
      <w:tr w:rsidR="00972FE1" w14:paraId="4E23C3A4" w14:textId="77777777">
        <w:trPr>
          <w:cantSplit/>
        </w:trPr>
        <w:tc>
          <w:tcPr>
            <w:tcW w:w="2650" w:type="dxa"/>
            <w:vAlign w:val="center"/>
          </w:tcPr>
          <w:p w14:paraId="22F26886" w14:textId="24C7965E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Métodos Qualitativos Aplicados (turma conjunta com o MPCA)</w:t>
            </w:r>
          </w:p>
          <w:p w14:paraId="48A0A07D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5539C402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24217072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31E39896" w14:textId="17E0623A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Sábados quinzenais</w:t>
            </w:r>
          </w:p>
        </w:tc>
        <w:tc>
          <w:tcPr>
            <w:tcW w:w="2004" w:type="dxa"/>
            <w:vAlign w:val="center"/>
          </w:tcPr>
          <w:p w14:paraId="03617DCD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29/abr, 13/mai e 27/mai/28</w:t>
            </w:r>
          </w:p>
        </w:tc>
      </w:tr>
      <w:tr w:rsidR="00972FE1" w14:paraId="7AF29919" w14:textId="77777777">
        <w:trPr>
          <w:cantSplit/>
        </w:trPr>
        <w:tc>
          <w:tcPr>
            <w:tcW w:w="2650" w:type="dxa"/>
            <w:vAlign w:val="center"/>
          </w:tcPr>
          <w:p w14:paraId="4D153DD3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Inferência Causal Aplicada a Negócios</w:t>
            </w:r>
          </w:p>
          <w:p w14:paraId="42F199EC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49AADD82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3B0097D9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20CE2E95" w14:textId="25D2C0B0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 quinzenais — sexta e sábado</w:t>
            </w:r>
          </w:p>
        </w:tc>
        <w:tc>
          <w:tcPr>
            <w:tcW w:w="2004" w:type="dxa"/>
            <w:vAlign w:val="center"/>
          </w:tcPr>
          <w:p w14:paraId="20DDE04C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2–3/jun e 23–24/jun/28* (pula 16–17/jun, emenda de Corpus Christi)</w:t>
            </w:r>
          </w:p>
        </w:tc>
      </w:tr>
      <w:tr w:rsidR="00972FE1" w14:paraId="7160674C" w14:textId="77777777">
        <w:trPr>
          <w:cantSplit/>
        </w:trPr>
        <w:tc>
          <w:tcPr>
            <w:tcW w:w="2650" w:type="dxa"/>
            <w:vAlign w:val="center"/>
          </w:tcPr>
          <w:p w14:paraId="47E85DF3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Workshop de Projeto Aplicado</w:t>
            </w:r>
          </w:p>
          <w:p w14:paraId="38691582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326AFB16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4D2F532F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36h</w:t>
            </w:r>
          </w:p>
        </w:tc>
        <w:tc>
          <w:tcPr>
            <w:tcW w:w="1850" w:type="dxa"/>
            <w:vAlign w:val="center"/>
          </w:tcPr>
          <w:p w14:paraId="2B9703E6" w14:textId="2136D9B6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Imersão, com encontro preparatório</w:t>
            </w:r>
          </w:p>
        </w:tc>
        <w:tc>
          <w:tcPr>
            <w:tcW w:w="2004" w:type="dxa"/>
            <w:vAlign w:val="center"/>
          </w:tcPr>
          <w:p w14:paraId="5B7D4F84" w14:textId="504AD051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 preparatório: 4–5/ago/28 | Imersão: 18–19/ago/28 (após o recesso de julho)</w:t>
            </w:r>
          </w:p>
        </w:tc>
      </w:tr>
      <w:tr w:rsidR="00972FE1" w14:paraId="6542BD84" w14:textId="77777777">
        <w:trPr>
          <w:cantSplit/>
        </w:trPr>
        <w:tc>
          <w:tcPr>
            <w:tcW w:w="8504" w:type="dxa"/>
            <w:gridSpan w:val="5"/>
            <w:shd w:val="clear" w:color="auto" w:fill="F4F4F4"/>
            <w:vAlign w:val="center"/>
          </w:tcPr>
          <w:p w14:paraId="1A67C17A" w14:textId="77777777" w:rsidR="00972FE1" w:rsidRDefault="00493D21">
            <w:pPr>
              <w:spacing w:before="20" w:after="10" w:line="276" w:lineRule="auto"/>
            </w:pPr>
            <w:r>
              <w:rPr>
                <w:rFonts w:ascii="Calibri" w:hAnsi="Calibri" w:cs="Calibri"/>
                <w:b/>
                <w:bCs/>
                <w:color w:val="9C1D21"/>
                <w:sz w:val="18"/>
                <w:szCs w:val="18"/>
              </w:rPr>
              <w:t>CICLO 5 — AMPLIFICAÇÃO E LEGADO</w:t>
            </w:r>
          </w:p>
          <w:p w14:paraId="19762A55" w14:textId="77777777" w:rsidR="00972FE1" w:rsidRDefault="00493D21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Desafios e Acompanhamento de Mercado, seminários de tese, qualificação e defesa (anos 2 a 4)</w:t>
            </w:r>
          </w:p>
        </w:tc>
      </w:tr>
      <w:tr w:rsidR="00972FE1" w14:paraId="2E156949" w14:textId="77777777">
        <w:trPr>
          <w:cantSplit/>
        </w:trPr>
        <w:tc>
          <w:tcPr>
            <w:tcW w:w="2650" w:type="dxa"/>
            <w:vAlign w:val="center"/>
          </w:tcPr>
          <w:p w14:paraId="4C6D6B76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Desafios de Mercado</w:t>
            </w:r>
          </w:p>
          <w:p w14:paraId="1CC06709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1C3D7D98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7E07E1F8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0F74D850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Calendário flexível — eventos técnicos</w:t>
            </w:r>
          </w:p>
        </w:tc>
        <w:tc>
          <w:tcPr>
            <w:tcW w:w="2004" w:type="dxa"/>
            <w:vAlign w:val="center"/>
          </w:tcPr>
          <w:p w14:paraId="109B3A39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 partir de set/28</w:t>
            </w:r>
          </w:p>
        </w:tc>
      </w:tr>
      <w:tr w:rsidR="00972FE1" w14:paraId="0D718B81" w14:textId="77777777">
        <w:trPr>
          <w:cantSplit/>
        </w:trPr>
        <w:tc>
          <w:tcPr>
            <w:tcW w:w="2650" w:type="dxa"/>
            <w:vAlign w:val="center"/>
          </w:tcPr>
          <w:p w14:paraId="0674E16D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Acompanhamento de Mercado</w:t>
            </w:r>
          </w:p>
          <w:p w14:paraId="4CF8C626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7ED67871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04D782B0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90h</w:t>
            </w:r>
          </w:p>
        </w:tc>
        <w:tc>
          <w:tcPr>
            <w:tcW w:w="1850" w:type="dxa"/>
            <w:vAlign w:val="center"/>
          </w:tcPr>
          <w:p w14:paraId="5ABD422C" w14:textId="1ED27DB5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Atividade extraclasse — calendário flexível (anos 2 a 4)</w:t>
            </w:r>
          </w:p>
        </w:tc>
        <w:tc>
          <w:tcPr>
            <w:tcW w:w="2004" w:type="dxa"/>
            <w:vAlign w:val="center"/>
          </w:tcPr>
          <w:p w14:paraId="29A08095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mar/2028 a fev/2031</w:t>
            </w:r>
          </w:p>
        </w:tc>
      </w:tr>
      <w:tr w:rsidR="00972FE1" w14:paraId="4B0EAC03" w14:textId="77777777">
        <w:trPr>
          <w:cantSplit/>
        </w:trPr>
        <w:tc>
          <w:tcPr>
            <w:tcW w:w="2650" w:type="dxa"/>
            <w:vAlign w:val="center"/>
          </w:tcPr>
          <w:p w14:paraId="58019041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Seminários de Tese</w:t>
            </w:r>
          </w:p>
          <w:p w14:paraId="4F07F6E3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7F97442B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691F206D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18h</w:t>
            </w:r>
          </w:p>
        </w:tc>
        <w:tc>
          <w:tcPr>
            <w:tcW w:w="1850" w:type="dxa"/>
            <w:vAlign w:val="center"/>
          </w:tcPr>
          <w:p w14:paraId="6A2BEAB5" w14:textId="0C2D393C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Seminários — noites de terça e quinta</w:t>
            </w:r>
          </w:p>
        </w:tc>
        <w:tc>
          <w:tcPr>
            <w:tcW w:w="2004" w:type="dxa"/>
            <w:vAlign w:val="center"/>
          </w:tcPr>
          <w:p w14:paraId="31D81E49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Datas previstas: 22, 24, 29 e 31/ago/28</w:t>
            </w:r>
          </w:p>
        </w:tc>
      </w:tr>
      <w:tr w:rsidR="00972FE1" w14:paraId="123C5998" w14:textId="77777777">
        <w:trPr>
          <w:cantSplit/>
        </w:trPr>
        <w:tc>
          <w:tcPr>
            <w:tcW w:w="2650" w:type="dxa"/>
            <w:vAlign w:val="center"/>
          </w:tcPr>
          <w:p w14:paraId="0CE9D299" w14:textId="77777777" w:rsidR="00972FE1" w:rsidRDefault="00493D21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Orientação individual</w:t>
            </w:r>
          </w:p>
          <w:p w14:paraId="0140F374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33C861A3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29568269" w14:textId="77777777" w:rsidR="00972FE1" w:rsidRDefault="00493D21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99h</w:t>
            </w:r>
          </w:p>
        </w:tc>
        <w:tc>
          <w:tcPr>
            <w:tcW w:w="1850" w:type="dxa"/>
            <w:vAlign w:val="center"/>
          </w:tcPr>
          <w:p w14:paraId="76D5AD1A" w14:textId="3DF97A4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Orientação individual — contínua</w:t>
            </w:r>
          </w:p>
        </w:tc>
        <w:tc>
          <w:tcPr>
            <w:tcW w:w="2004" w:type="dxa"/>
            <w:vAlign w:val="center"/>
          </w:tcPr>
          <w:p w14:paraId="7E5EB46B" w14:textId="77777777" w:rsidR="00972FE1" w:rsidRDefault="00493D21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Contínua a partir de set/28</w:t>
            </w:r>
          </w:p>
        </w:tc>
      </w:tr>
    </w:tbl>
    <w:p w14:paraId="45A11407" w14:textId="77777777" w:rsidR="00972FE1" w:rsidRDefault="00972FE1">
      <w:pPr>
        <w:spacing w:after="80"/>
      </w:pPr>
    </w:p>
    <w:p w14:paraId="3045E546" w14:textId="5C042E32" w:rsidR="00972FE1" w:rsidRDefault="00493D21">
      <w:pPr>
        <w:spacing w:after="100" w:line="276" w:lineRule="auto"/>
        <w:jc w:val="both"/>
      </w:pPr>
      <w:r>
        <w:rPr>
          <w:rFonts w:ascii="Calibri" w:hAnsi="Calibri" w:cs="Calibri"/>
          <w:sz w:val="22"/>
          <w:szCs w:val="22"/>
        </w:rPr>
        <w:lastRenderedPageBreak/>
        <w:t>Observações: (i) as disciplinas específicas de cada linha de pesquisa correspondem às 3 primeiras entradas dos Ciclos 1–2 e ocorrem em salas paralelas, nas mesmas datas e horários das disciplinas “Ambas as linhas”; (ii) no Ciclo 3, o aluno cursa 1 (uma) disciplina eletiva por bloco, em turmas conjuntas com o MPCA e com exigências de nível doutoral; (iii) os formatos de cada disciplina estão detalhados no item 3, alínea “f”, deste Edital</w:t>
      </w:r>
      <w:r w:rsidR="004774C4">
        <w:rPr>
          <w:rFonts w:ascii="Calibri" w:hAnsi="Calibri" w:cs="Calibri"/>
          <w:sz w:val="22"/>
          <w:szCs w:val="22"/>
        </w:rPr>
        <w:t>.</w:t>
      </w:r>
    </w:p>
    <w:sectPr w:rsidR="00972FE1" w:rsidSect="00583FF0">
      <w:headerReference w:type="default" r:id="rId10"/>
      <w:footerReference w:type="default" r:id="rId11"/>
      <w:pgSz w:w="11906" w:h="16838"/>
      <w:pgMar w:top="170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D04055" w14:textId="77777777" w:rsidR="009E451E" w:rsidRDefault="009E451E" w:rsidP="0037569F">
      <w:pPr>
        <w:spacing w:after="0" w:line="240" w:lineRule="auto"/>
      </w:pPr>
      <w:r>
        <w:separator/>
      </w:r>
    </w:p>
  </w:endnote>
  <w:endnote w:type="continuationSeparator" w:id="0">
    <w:p w14:paraId="35327142" w14:textId="77777777" w:rsidR="009E451E" w:rsidRDefault="009E451E" w:rsidP="00375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D74189" w14:textId="77777777" w:rsidR="0037569F" w:rsidRDefault="00992989" w:rsidP="0064444F">
    <w:pPr>
      <w:pStyle w:val="Rodap"/>
      <w:tabs>
        <w:tab w:val="clear" w:pos="4252"/>
        <w:tab w:val="clear" w:pos="8504"/>
        <w:tab w:val="left" w:pos="1560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39C7DC49" wp14:editId="5B91D01B">
          <wp:simplePos x="0" y="0"/>
          <wp:positionH relativeFrom="margin">
            <wp:posOffset>-1341392</wp:posOffset>
          </wp:positionH>
          <wp:positionV relativeFrom="paragraph">
            <wp:posOffset>341539</wp:posOffset>
          </wp:positionV>
          <wp:extent cx="8089265" cy="279760"/>
          <wp:effectExtent l="0" t="0" r="0" b="0"/>
          <wp:wrapNone/>
          <wp:docPr id="2255647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5564716" name="Imagem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4326"/>
                  <a:stretch>
                    <a:fillRect/>
                  </a:stretch>
                </pic:blipFill>
                <pic:spPr bwMode="auto">
                  <a:xfrm>
                    <a:off x="0" y="0"/>
                    <a:ext cx="8089285" cy="27976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444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36F61B" w14:textId="77777777" w:rsidR="009E451E" w:rsidRDefault="009E451E" w:rsidP="0037569F">
      <w:pPr>
        <w:spacing w:after="0" w:line="240" w:lineRule="auto"/>
      </w:pPr>
      <w:r>
        <w:separator/>
      </w:r>
    </w:p>
  </w:footnote>
  <w:footnote w:type="continuationSeparator" w:id="0">
    <w:p w14:paraId="6AD7C8C6" w14:textId="77777777" w:rsidR="009E451E" w:rsidRDefault="009E451E" w:rsidP="00375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F04959" w14:textId="77777777" w:rsidR="0037569F" w:rsidRDefault="00583FF0">
    <w:pPr>
      <w:pStyle w:val="Cabealho"/>
    </w:pPr>
    <w:r>
      <w:rPr>
        <w:noProof/>
      </w:rPr>
      <w:drawing>
        <wp:anchor distT="0" distB="0" distL="114300" distR="114300" simplePos="0" relativeHeight="251662336" behindDoc="1" locked="0" layoutInCell="1" allowOverlap="1" wp14:anchorId="63575B6B" wp14:editId="56A0211D">
          <wp:simplePos x="0" y="0"/>
          <wp:positionH relativeFrom="margin">
            <wp:posOffset>-1357630</wp:posOffset>
          </wp:positionH>
          <wp:positionV relativeFrom="paragraph">
            <wp:posOffset>-516255</wp:posOffset>
          </wp:positionV>
          <wp:extent cx="8106875" cy="1133475"/>
          <wp:effectExtent l="0" t="0" r="8890" b="0"/>
          <wp:wrapNone/>
          <wp:docPr id="807605463" name="Imagem 2" descr="Padrão do plano de fun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436033" name="Imagem 2" descr="Padrão do plano de fund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6875" cy="1133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F901E0"/>
    <w:multiLevelType w:val="hybridMultilevel"/>
    <w:tmpl w:val="2A84770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82CB8"/>
    <w:multiLevelType w:val="hybridMultilevel"/>
    <w:tmpl w:val="24D675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317CC"/>
    <w:multiLevelType w:val="hybridMultilevel"/>
    <w:tmpl w:val="5D54C9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603BC"/>
    <w:multiLevelType w:val="hybridMultilevel"/>
    <w:tmpl w:val="822EAF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66ADFAC">
      <w:start w:val="1"/>
      <w:numFmt w:val="lowerLetter"/>
      <w:lvlText w:val="%3)"/>
      <w:lvlJc w:val="left"/>
      <w:pPr>
        <w:ind w:left="2440" w:hanging="460"/>
      </w:pPr>
      <w:rPr>
        <w:rFonts w:ascii="Calibri" w:hAnsi="Calibri" w:cs="Calibri" w:hint="default"/>
        <w:sz w:val="22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C6657F"/>
    <w:multiLevelType w:val="hybridMultilevel"/>
    <w:tmpl w:val="0B121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7559D8"/>
    <w:multiLevelType w:val="hybridMultilevel"/>
    <w:tmpl w:val="E3969C2C"/>
    <w:lvl w:ilvl="0" w:tplc="E71A60FA">
      <w:start w:val="1"/>
      <w:numFmt w:val="lowerLetter"/>
      <w:lvlText w:val="%1)"/>
      <w:lvlJc w:val="left"/>
      <w:pPr>
        <w:ind w:left="820" w:hanging="460"/>
      </w:pPr>
      <w:rPr>
        <w:rFonts w:ascii="Calibri" w:hAnsi="Calibri" w:cs="Calibri" w:hint="default"/>
        <w:sz w:val="22"/>
      </w:rPr>
    </w:lvl>
    <w:lvl w:ilvl="1" w:tplc="E7B807EE">
      <w:start w:val="2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sz w:val="22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436D8E"/>
    <w:multiLevelType w:val="hybridMultilevel"/>
    <w:tmpl w:val="EAC40524"/>
    <w:lvl w:ilvl="0" w:tplc="27BCB85A">
      <w:start w:val="1"/>
      <w:numFmt w:val="lowerLetter"/>
      <w:lvlText w:val="%1)"/>
      <w:lvlJc w:val="left"/>
      <w:pPr>
        <w:ind w:left="820" w:hanging="460"/>
      </w:pPr>
      <w:rPr>
        <w:rFonts w:ascii="Calibri" w:hAnsi="Calibri" w:cs="Calibri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493419"/>
    <w:multiLevelType w:val="hybridMultilevel"/>
    <w:tmpl w:val="E82459DA"/>
    <w:lvl w:ilvl="0" w:tplc="5810EF24">
      <w:start w:val="1"/>
      <w:numFmt w:val="lowerLetter"/>
      <w:lvlText w:val="%1)"/>
      <w:lvlJc w:val="left"/>
      <w:pPr>
        <w:ind w:left="820" w:hanging="460"/>
      </w:pPr>
      <w:rPr>
        <w:rFonts w:ascii="Calibri" w:hAnsi="Calibri" w:cs="Calibri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420767">
    <w:abstractNumId w:val="1"/>
  </w:num>
  <w:num w:numId="2" w16cid:durableId="2102216556">
    <w:abstractNumId w:val="7"/>
  </w:num>
  <w:num w:numId="3" w16cid:durableId="1025331647">
    <w:abstractNumId w:val="4"/>
  </w:num>
  <w:num w:numId="4" w16cid:durableId="393550866">
    <w:abstractNumId w:val="6"/>
  </w:num>
  <w:num w:numId="5" w16cid:durableId="767969512">
    <w:abstractNumId w:val="0"/>
  </w:num>
  <w:num w:numId="6" w16cid:durableId="1808468701">
    <w:abstractNumId w:val="5"/>
  </w:num>
  <w:num w:numId="7" w16cid:durableId="2033723624">
    <w:abstractNumId w:val="3"/>
  </w:num>
  <w:num w:numId="8" w16cid:durableId="45320970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7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69F"/>
    <w:rsid w:val="000A5B07"/>
    <w:rsid w:val="00126555"/>
    <w:rsid w:val="001E778E"/>
    <w:rsid w:val="00230FA8"/>
    <w:rsid w:val="00284A34"/>
    <w:rsid w:val="002F6B7C"/>
    <w:rsid w:val="00312EE0"/>
    <w:rsid w:val="00327452"/>
    <w:rsid w:val="0037569F"/>
    <w:rsid w:val="00383F74"/>
    <w:rsid w:val="004774C4"/>
    <w:rsid w:val="00493D21"/>
    <w:rsid w:val="00497B82"/>
    <w:rsid w:val="004A15C9"/>
    <w:rsid w:val="004A3494"/>
    <w:rsid w:val="004F5874"/>
    <w:rsid w:val="00583FF0"/>
    <w:rsid w:val="005C27C2"/>
    <w:rsid w:val="005E7D0F"/>
    <w:rsid w:val="005F6249"/>
    <w:rsid w:val="00601EB5"/>
    <w:rsid w:val="0064444F"/>
    <w:rsid w:val="00651155"/>
    <w:rsid w:val="006B107B"/>
    <w:rsid w:val="006E0AA9"/>
    <w:rsid w:val="00715331"/>
    <w:rsid w:val="00732261"/>
    <w:rsid w:val="007A0796"/>
    <w:rsid w:val="007B0715"/>
    <w:rsid w:val="007B7AA5"/>
    <w:rsid w:val="00854C1C"/>
    <w:rsid w:val="008910A0"/>
    <w:rsid w:val="008C268C"/>
    <w:rsid w:val="0091197B"/>
    <w:rsid w:val="009221D6"/>
    <w:rsid w:val="00972FE1"/>
    <w:rsid w:val="00992989"/>
    <w:rsid w:val="009A65FF"/>
    <w:rsid w:val="009E451E"/>
    <w:rsid w:val="00A2419B"/>
    <w:rsid w:val="00A4346B"/>
    <w:rsid w:val="00AC36DC"/>
    <w:rsid w:val="00AF6CAD"/>
    <w:rsid w:val="00B326A0"/>
    <w:rsid w:val="00B366DF"/>
    <w:rsid w:val="00B43D9F"/>
    <w:rsid w:val="00B52E48"/>
    <w:rsid w:val="00B559DF"/>
    <w:rsid w:val="00B616C4"/>
    <w:rsid w:val="00BB17CD"/>
    <w:rsid w:val="00BF05A1"/>
    <w:rsid w:val="00BF51D6"/>
    <w:rsid w:val="00C205AF"/>
    <w:rsid w:val="00C2292E"/>
    <w:rsid w:val="00C542C1"/>
    <w:rsid w:val="00C74873"/>
    <w:rsid w:val="00C80E56"/>
    <w:rsid w:val="00CA6E2A"/>
    <w:rsid w:val="00CD1C19"/>
    <w:rsid w:val="00CF10F2"/>
    <w:rsid w:val="00D93994"/>
    <w:rsid w:val="00DD4727"/>
    <w:rsid w:val="00E03436"/>
    <w:rsid w:val="00E65972"/>
    <w:rsid w:val="00EA2EC4"/>
    <w:rsid w:val="00EE746D"/>
    <w:rsid w:val="00F0355B"/>
    <w:rsid w:val="00F43965"/>
    <w:rsid w:val="00F90FF5"/>
    <w:rsid w:val="00FA225B"/>
    <w:rsid w:val="00FA28B3"/>
    <w:rsid w:val="00FB7941"/>
    <w:rsid w:val="00FF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11AFC"/>
  <w15:chartTrackingRefBased/>
  <w15:docId w15:val="{FA6A3E25-A899-4C9A-A119-03B17EEF9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F6CAD"/>
    <w:pPr>
      <w:keepNext/>
      <w:spacing w:before="280" w:after="140" w:line="276" w:lineRule="auto"/>
      <w:outlineLvl w:val="0"/>
    </w:pPr>
    <w:rPr>
      <w:rFonts w:ascii="Calibri" w:hAnsi="Calibri" w:cs="Calibri"/>
      <w:b/>
      <w:bCs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F6CAD"/>
    <w:pPr>
      <w:keepNext/>
      <w:spacing w:before="160" w:after="100" w:line="276" w:lineRule="auto"/>
      <w:outlineLvl w:val="1"/>
    </w:pPr>
    <w:rPr>
      <w:rFonts w:ascii="Calibri" w:hAnsi="Calibri" w:cs="Calibri"/>
      <w:b/>
      <w:bCs/>
      <w:color w:val="9C1D21"/>
      <w:sz w:val="22"/>
      <w:szCs w:val="2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756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756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756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756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756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756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756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F6CAD"/>
    <w:rPr>
      <w:rFonts w:ascii="Calibri" w:hAnsi="Calibri" w:cs="Calibri"/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AF6CAD"/>
    <w:rPr>
      <w:rFonts w:ascii="Calibri" w:hAnsi="Calibri" w:cs="Calibri"/>
      <w:b/>
      <w:bCs/>
      <w:color w:val="9C1D21"/>
      <w:sz w:val="22"/>
      <w:szCs w:val="2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756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7569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7569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756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7569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756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756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756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75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756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75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756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7569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7569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7569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756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7569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7569F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75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569F"/>
  </w:style>
  <w:style w:type="paragraph" w:styleId="Rodap">
    <w:name w:val="footer"/>
    <w:basedOn w:val="Normal"/>
    <w:link w:val="RodapChar"/>
    <w:uiPriority w:val="99"/>
    <w:unhideWhenUsed/>
    <w:rsid w:val="00375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569F"/>
  </w:style>
  <w:style w:type="character" w:styleId="Hyperlink">
    <w:name w:val="Hyperlink"/>
    <w:basedOn w:val="Fontepargpadro"/>
    <w:uiPriority w:val="99"/>
    <w:unhideWhenUsed/>
    <w:rsid w:val="004A15C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A15C9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A434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F7B69F80A7CCC47A9FEAEC2C601E5E0" ma:contentTypeVersion="15" ma:contentTypeDescription="Crie um novo documento." ma:contentTypeScope="" ma:versionID="011aff7cc6838c806a4dd2c322fecb48">
  <xsd:schema xmlns:xsd="http://www.w3.org/2001/XMLSchema" xmlns:xs="http://www.w3.org/2001/XMLSchema" xmlns:p="http://schemas.microsoft.com/office/2006/metadata/properties" xmlns:ns2="d1092905-9c90-415d-b087-1c2acddaf414" xmlns:ns3="f6deeae6-1d6d-42ff-8554-923ccb8cad63" targetNamespace="http://schemas.microsoft.com/office/2006/metadata/properties" ma:root="true" ma:fieldsID="a8ff5f1e1b90335bb3d2dbbc4c5a4580" ns2:_="" ns3:_="">
    <xsd:import namespace="d1092905-9c90-415d-b087-1c2acddaf414"/>
    <xsd:import namespace="f6deeae6-1d6d-42ff-8554-923ccb8cad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92905-9c90-415d-b087-1c2acddaf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bf479ccc-e096-4d20-8b43-15b1621b9c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eeae6-1d6d-42ff-8554-923ccb8cad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3dc45f-a555-40e0-af0a-4e22a6c55ba7}" ma:internalName="TaxCatchAll" ma:showField="CatchAllData" ma:web="f6deeae6-1d6d-42ff-8554-923ccb8cad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092905-9c90-415d-b087-1c2acddaf414">
      <Terms xmlns="http://schemas.microsoft.com/office/infopath/2007/PartnerControls"/>
    </lcf76f155ced4ddcb4097134ff3c332f>
    <TaxCatchAll xmlns="f6deeae6-1d6d-42ff-8554-923ccb8cad63" xsi:nil="true"/>
  </documentManagement>
</p:properties>
</file>

<file path=customXml/itemProps1.xml><?xml version="1.0" encoding="utf-8"?>
<ds:datastoreItem xmlns:ds="http://schemas.openxmlformats.org/officeDocument/2006/customXml" ds:itemID="{38259D7E-FDEB-4082-AFED-A2190B49D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092905-9c90-415d-b087-1c2acddaf414"/>
    <ds:schemaRef ds:uri="f6deeae6-1d6d-42ff-8554-923ccb8cad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3E01E2-165C-4DEC-9C0F-C9903AC5D1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A992A8-B126-47B7-AA5B-0EEFDBCAD544}">
  <ds:schemaRefs>
    <ds:schemaRef ds:uri="http://schemas.microsoft.com/office/2006/metadata/properties"/>
    <ds:schemaRef ds:uri="http://schemas.microsoft.com/office/infopath/2007/PartnerControls"/>
    <ds:schemaRef ds:uri="d1092905-9c90-415d-b087-1c2acddaf414"/>
    <ds:schemaRef ds:uri="f6deeae6-1d6d-42ff-8554-923ccb8cad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3012</Words>
  <Characters>16901</Characters>
  <Application>Microsoft Office Word</Application>
  <DocSecurity>0</DocSecurity>
  <Lines>768</Lines>
  <Paragraphs>375</Paragraphs>
  <ScaleCrop>false</ScaleCrop>
  <Company/>
  <LinksUpToDate>false</LinksUpToDate>
  <CharactersWithSpaces>19538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Abertura do Processo Seletivo 2027/1 — MPCA e DPCA</dc:title>
  <dc:subject>Processo Seletivo 2027/1 — Mestrado e Doutorado Profissional em Ciências Contábeis e Administração</dc:subject>
  <dc:creator>FUCAPE Business School</dc:creator>
  <cp:keywords/>
  <dc:description/>
  <cp:lastModifiedBy>Vitor Azzari Vieira</cp:lastModifiedBy>
  <cp:revision>26</cp:revision>
  <dcterms:created xsi:type="dcterms:W3CDTF">2026-09-04T12:58:00Z</dcterms:created>
  <dcterms:modified xsi:type="dcterms:W3CDTF">2026-09-09T17:54:00Z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0x0101007F7B69F80A7CCC47A9FEAEC2C601E5E0</vt:lpwstr>
  </property>
  <property fmtid="{D5CDD505-2E9C-101B-9397-08002B2CF9AE}" pid="3" name="MediaServiceImageTags">
    <vt:lpwstr/>
  </property>
</Properties>
</file>